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FBB" w:rsidRDefault="00CF0E87" w:rsidP="00CF0E87">
      <w:pPr>
        <w:pStyle w:val="Title"/>
        <w:tabs>
          <w:tab w:val="left" w:pos="8790"/>
        </w:tabs>
      </w:pPr>
      <w:r w:rsidRPr="00CF0E87">
        <w:t>Eltham Town Centre Design Guidelines</w:t>
      </w:r>
    </w:p>
    <w:p w:rsidR="00CF0E87" w:rsidRDefault="00CF0E87" w:rsidP="00CF0E87">
      <w:pPr>
        <w:pStyle w:val="Heading4"/>
      </w:pPr>
      <w:r w:rsidRPr="00CF0E87">
        <w:t>PART B - Residential Interface (Precinct 2) Design Guidelines</w:t>
      </w:r>
    </w:p>
    <w:p w:rsidR="00CF0E87" w:rsidRDefault="00CF0E87" w:rsidP="00CF0E87">
      <w:r>
        <w:t>F</w:t>
      </w:r>
      <w:r w:rsidRPr="00CF0E87">
        <w:t xml:space="preserve">inal </w:t>
      </w:r>
      <w:r>
        <w:t>-</w:t>
      </w:r>
      <w:r w:rsidRPr="00CF0E87">
        <w:t xml:space="preserve"> </w:t>
      </w:r>
      <w:r>
        <w:t>F</w:t>
      </w:r>
      <w:r w:rsidRPr="00CF0E87">
        <w:t>ebruary 2014</w:t>
      </w:r>
    </w:p>
    <w:p w:rsidR="00CF0E87" w:rsidRDefault="00CF0E87" w:rsidP="00CF0E87">
      <w:r>
        <w:rPr>
          <w:noProof/>
          <w:lang w:eastAsia="en-AU"/>
        </w:rPr>
        <w:drawing>
          <wp:inline distT="0" distB="0" distL="0" distR="0">
            <wp:extent cx="6120130" cy="4312920"/>
            <wp:effectExtent l="0" t="0" r="0" b="0"/>
            <wp:docPr id="3" name="Picture 3" descr="This image is of the Residential Interface Guidelines in Eltham Town Centre" title="Residential Inte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tial interfac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87" w:rsidRDefault="00CF0E87">
      <w:r>
        <w:br w:type="page"/>
      </w:r>
    </w:p>
    <w:p w:rsidR="00CF0E87" w:rsidRDefault="00CF0E87" w:rsidP="00CF0E87">
      <w:pPr>
        <w:pStyle w:val="Heading4"/>
      </w:pPr>
      <w:r w:rsidRPr="00CF0E87">
        <w:lastRenderedPageBreak/>
        <w:t>PART B – Residential Interface Design Guidelines</w:t>
      </w:r>
    </w:p>
    <w:p w:rsidR="00CF0E87" w:rsidRPr="00CF0E87" w:rsidRDefault="00CF0E87" w:rsidP="00CF0E87">
      <w:pPr>
        <w:pStyle w:val="Heading5"/>
      </w:pPr>
      <w:r>
        <w:t>1.1</w:t>
      </w:r>
      <w:r>
        <w:tab/>
      </w:r>
      <w:r w:rsidRPr="00CF0E87">
        <w:t>The Residential Interface</w:t>
      </w:r>
    </w:p>
    <w:p w:rsidR="00CF0E87" w:rsidRPr="00CF0E87" w:rsidRDefault="00CF0E87" w:rsidP="00CF0E87">
      <w:r w:rsidRPr="00CF0E87">
        <w:t>The Residential Interface Precinct is generally bounded by</w:t>
      </w:r>
      <w:r>
        <w:t xml:space="preserve"> </w:t>
      </w:r>
      <w:r w:rsidRPr="00CF0E87">
        <w:t>Bible Street to the east and residential properties fronting</w:t>
      </w:r>
      <w:r>
        <w:t xml:space="preserve"> </w:t>
      </w:r>
      <w:r w:rsidRPr="00CF0E87">
        <w:t>Cecil to the north and Taylor Street to the south.</w:t>
      </w:r>
    </w:p>
    <w:p w:rsidR="00CF0E87" w:rsidRPr="00CF0E87" w:rsidRDefault="00CF0E87" w:rsidP="00CF0E87">
      <w:r w:rsidRPr="00CF0E87">
        <w:t>These Design Guidelines are intended to be used by</w:t>
      </w:r>
      <w:r>
        <w:t xml:space="preserve"> </w:t>
      </w:r>
      <w:r w:rsidRPr="00CF0E87">
        <w:t>anyone who is interested or involved in the planning and</w:t>
      </w:r>
      <w:r>
        <w:t xml:space="preserve"> </w:t>
      </w:r>
      <w:r w:rsidRPr="00CF0E87">
        <w:t>development process (landowners, designers, developers,</w:t>
      </w:r>
      <w:r>
        <w:t xml:space="preserve"> </w:t>
      </w:r>
      <w:r w:rsidRPr="00CF0E87">
        <w:t xml:space="preserve">community, Council </w:t>
      </w:r>
      <w:proofErr w:type="spellStart"/>
      <w:r w:rsidRPr="00CF0E87">
        <w:t>etc</w:t>
      </w:r>
      <w:proofErr w:type="spellEnd"/>
      <w:r w:rsidRPr="00CF0E87">
        <w:t>) to better understand how to</w:t>
      </w:r>
      <w:r>
        <w:t xml:space="preserve"> </w:t>
      </w:r>
      <w:r w:rsidRPr="00CF0E87">
        <w:t>suitably respond to local planning policies and design</w:t>
      </w:r>
      <w:r>
        <w:t xml:space="preserve"> </w:t>
      </w:r>
      <w:r w:rsidRPr="00CF0E87">
        <w:t>controls associated with the Eltham Town Centre.</w:t>
      </w:r>
    </w:p>
    <w:p w:rsidR="00CF0E87" w:rsidRPr="00CF0E87" w:rsidRDefault="00CF0E87" w:rsidP="00CF0E87">
      <w:r w:rsidRPr="00CF0E87">
        <w:t>A Design and Development Overlay (DDO6) applies to land</w:t>
      </w:r>
      <w:r>
        <w:t xml:space="preserve"> </w:t>
      </w:r>
      <w:r w:rsidRPr="00CF0E87">
        <w:t>within the Eltham Town Centre, which sets regulations and</w:t>
      </w:r>
      <w:r>
        <w:t xml:space="preserve"> </w:t>
      </w:r>
      <w:r w:rsidRPr="00CF0E87">
        <w:t>development expectations to realise the preferred character</w:t>
      </w:r>
      <w:r>
        <w:t xml:space="preserve"> </w:t>
      </w:r>
      <w:r w:rsidRPr="00CF0E87">
        <w:t>of the area. Use these design guideline documents to assist</w:t>
      </w:r>
      <w:r>
        <w:t xml:space="preserve"> </w:t>
      </w:r>
      <w:r w:rsidRPr="00CF0E87">
        <w:t>in the design phases for all new development within the</w:t>
      </w:r>
      <w:r>
        <w:t xml:space="preserve"> </w:t>
      </w:r>
      <w:r w:rsidRPr="00CF0E87">
        <w:t>Eltham Town Centre precincts.</w:t>
      </w:r>
    </w:p>
    <w:p w:rsidR="00CF0E87" w:rsidRPr="00CF0E87" w:rsidRDefault="00CF0E87" w:rsidP="00CF0E87">
      <w:r w:rsidRPr="00CF0E87">
        <w:t>The Eltham Town Centre Design Guidelines have been</w:t>
      </w:r>
      <w:r>
        <w:t xml:space="preserve"> </w:t>
      </w:r>
      <w:r w:rsidRPr="00CF0E87">
        <w:t>separated into 2 parts and include the following:</w:t>
      </w:r>
    </w:p>
    <w:p w:rsidR="00CF0E87" w:rsidRPr="00CF0E87" w:rsidRDefault="00CF0E87" w:rsidP="00CF0E87">
      <w:pPr>
        <w:rPr>
          <w:b/>
        </w:rPr>
      </w:pPr>
      <w:r w:rsidRPr="00CF0E87">
        <w:rPr>
          <w:b/>
        </w:rPr>
        <w:t>Part A: The General Design Guidelines (applicable to all land within the Eltham Town Centre Precincts)</w:t>
      </w:r>
    </w:p>
    <w:p w:rsidR="00CF0E87" w:rsidRDefault="00CF0E87" w:rsidP="00CF0E87">
      <w:r w:rsidRPr="00CF0E87">
        <w:t>The purpose of the General Eltham Town Centre Design</w:t>
      </w:r>
      <w:r>
        <w:t xml:space="preserve"> </w:t>
      </w:r>
      <w:r w:rsidRPr="00CF0E87">
        <w:t>Guidelines is to provide basic design directions for all</w:t>
      </w:r>
      <w:r>
        <w:t xml:space="preserve"> </w:t>
      </w:r>
      <w:r w:rsidRPr="00CF0E87">
        <w:t>development formats within the Eltham Town Centre</w:t>
      </w:r>
      <w:r>
        <w:t xml:space="preserve"> </w:t>
      </w:r>
      <w:r w:rsidRPr="00CF0E87">
        <w:t>boundary including new commercial, residential and</w:t>
      </w:r>
      <w:r>
        <w:t xml:space="preserve"> </w:t>
      </w:r>
      <w:r w:rsidRPr="00CF0E87">
        <w:t>community developments.</w:t>
      </w:r>
    </w:p>
    <w:p w:rsidR="00CF0E87" w:rsidRPr="00CF0E87" w:rsidRDefault="00CF0E87" w:rsidP="00CF0E87">
      <w:pPr>
        <w:rPr>
          <w:b/>
        </w:rPr>
      </w:pPr>
      <w:r w:rsidRPr="00CF0E87">
        <w:rPr>
          <w:b/>
        </w:rPr>
        <w:t>Part B: Precinct Design Guidelines (applicable to land located within the specified precinct boundary)</w:t>
      </w:r>
    </w:p>
    <w:p w:rsidR="00CF0E87" w:rsidRPr="00CF0E87" w:rsidRDefault="00CF0E87" w:rsidP="00CF0E87">
      <w:r w:rsidRPr="00CF0E87">
        <w:t>The purpose of the Precinct Design Guidelines is to provide specific guidance that supports the preferred character for the each</w:t>
      </w:r>
      <w:r>
        <w:t xml:space="preserve"> </w:t>
      </w:r>
      <w:r w:rsidRPr="00CF0E87">
        <w:t>precinct.</w:t>
      </w:r>
    </w:p>
    <w:p w:rsidR="00CF0E87" w:rsidRDefault="00CF0E87" w:rsidP="00CF0E87">
      <w:r w:rsidRPr="00CF0E87">
        <w:t xml:space="preserve">Note: All new development must have regard to both documents, PART </w:t>
      </w:r>
      <w:proofErr w:type="gramStart"/>
      <w:r w:rsidRPr="00CF0E87">
        <w:t>A</w:t>
      </w:r>
      <w:proofErr w:type="gramEnd"/>
      <w:r w:rsidRPr="00CF0E87">
        <w:t xml:space="preserve"> &amp; B respectively.</w:t>
      </w:r>
    </w:p>
    <w:p w:rsidR="00CF0E87" w:rsidRDefault="00CF0E87" w:rsidP="00CF0E87">
      <w:r>
        <w:rPr>
          <w:noProof/>
          <w:lang w:eastAsia="en-AU"/>
        </w:rPr>
        <w:lastRenderedPageBreak/>
        <w:drawing>
          <wp:inline distT="0" distB="0" distL="0" distR="0">
            <wp:extent cx="5213445" cy="4663323"/>
            <wp:effectExtent l="0" t="0" r="6350" b="4445"/>
            <wp:docPr id="5" name="Picture 5" descr="This image is a map of the Residential Interface for the Eltham Town Centre" title="Residential Interfac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tial interface ma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504" cy="466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87" w:rsidRPr="00CF0E87" w:rsidRDefault="00CF0E87" w:rsidP="00CF0E87">
      <w:pPr>
        <w:pStyle w:val="Heading5"/>
      </w:pPr>
      <w:r>
        <w:t>1.2</w:t>
      </w:r>
      <w:r>
        <w:tab/>
      </w:r>
      <w:r w:rsidRPr="00CF0E87">
        <w:t>The Preferred Character</w:t>
      </w:r>
    </w:p>
    <w:p w:rsidR="00CF0E87" w:rsidRPr="00CF0E87" w:rsidRDefault="00CF0E87" w:rsidP="00CF0E87">
      <w:r w:rsidRPr="00CF0E87">
        <w:t>The preferred character for the Residential Interface Precinct includes:</w:t>
      </w:r>
    </w:p>
    <w:p w:rsidR="00CF0E87" w:rsidRPr="00CF0E87" w:rsidRDefault="00CF0E87" w:rsidP="00CF0E87">
      <w:pPr>
        <w:pStyle w:val="ListBullet"/>
      </w:pPr>
      <w:r w:rsidRPr="00CF0E87">
        <w:t>This area will provide for a transition in built form scale and density between the core commercial area</w:t>
      </w:r>
      <w:r>
        <w:t xml:space="preserve">s and the adjoining residential </w:t>
      </w:r>
      <w:r w:rsidRPr="00CF0E87">
        <w:t>areas.</w:t>
      </w:r>
    </w:p>
    <w:p w:rsidR="00CF0E87" w:rsidRPr="00CF0E87" w:rsidRDefault="00CF0E87" w:rsidP="00CF0E87">
      <w:pPr>
        <w:pStyle w:val="ListBullet"/>
      </w:pPr>
      <w:r w:rsidRPr="00CF0E87">
        <w:t>This area will provide for an increase in medium density housing and offices while maintaining the s</w:t>
      </w:r>
      <w:r>
        <w:t xml:space="preserve">pacious and treed appearance of </w:t>
      </w:r>
      <w:r w:rsidRPr="00CF0E87">
        <w:t>streetscapes.</w:t>
      </w:r>
    </w:p>
    <w:p w:rsidR="00CF0E87" w:rsidRPr="00CF0E87" w:rsidRDefault="00CF0E87" w:rsidP="00CF0E87">
      <w:pPr>
        <w:pStyle w:val="Heading5"/>
      </w:pPr>
      <w:r>
        <w:t>1.3</w:t>
      </w:r>
      <w:r>
        <w:tab/>
      </w:r>
      <w:r w:rsidRPr="00CF0E87">
        <w:t>Precinct Design Objectives</w:t>
      </w:r>
    </w:p>
    <w:p w:rsidR="00CF0E87" w:rsidRPr="00CF0E87" w:rsidRDefault="00CF0E87" w:rsidP="00CF0E87">
      <w:pPr>
        <w:pStyle w:val="ListBullet"/>
      </w:pPr>
      <w:r w:rsidRPr="00CF0E87">
        <w:t>To encourage medium density housing and office development that respects the neighbourho</w:t>
      </w:r>
      <w:r>
        <w:t xml:space="preserve">od character and any particular </w:t>
      </w:r>
      <w:r w:rsidRPr="00CF0E87">
        <w:t>design guidelines for the area</w:t>
      </w:r>
    </w:p>
    <w:p w:rsidR="00CF0E87" w:rsidRPr="00CF0E87" w:rsidRDefault="00CF0E87" w:rsidP="00CF0E87">
      <w:pPr>
        <w:pStyle w:val="ListBullet"/>
      </w:pPr>
      <w:r>
        <w:t>T</w:t>
      </w:r>
      <w:r w:rsidRPr="00CF0E87">
        <w:t>o ensure non-residential development in the Residential Growth Zone maintains a predominantly residential appearance.</w:t>
      </w:r>
    </w:p>
    <w:p w:rsidR="00CF0E87" w:rsidRDefault="00CF0E87" w:rsidP="00CF0E87">
      <w:pPr>
        <w:pStyle w:val="ListBullet"/>
      </w:pPr>
      <w:r w:rsidRPr="00CF0E87">
        <w:t xml:space="preserve">To encourage the consolidation of residential lots for </w:t>
      </w:r>
      <w:proofErr w:type="spellStart"/>
      <w:r w:rsidRPr="00CF0E87">
        <w:t>well designed</w:t>
      </w:r>
      <w:proofErr w:type="spellEnd"/>
      <w:r w:rsidRPr="00CF0E87">
        <w:t xml:space="preserve"> integrated residential developments.</w:t>
      </w:r>
    </w:p>
    <w:p w:rsidR="00CF0E87" w:rsidRDefault="00CF0E87">
      <w:r>
        <w:br w:type="page"/>
      </w:r>
    </w:p>
    <w:p w:rsidR="00CF0E87" w:rsidRDefault="00CF0E87" w:rsidP="00CF0E87">
      <w:pPr>
        <w:pStyle w:val="Heading4"/>
      </w:pPr>
      <w:r w:rsidRPr="00CF0E87">
        <w:lastRenderedPageBreak/>
        <w:t>PART B – Site Design Guidelines</w:t>
      </w:r>
    </w:p>
    <w:p w:rsidR="00CF0E87" w:rsidRDefault="00CF0E87" w:rsidP="00CF0E87">
      <w:pPr>
        <w:pStyle w:val="Heading5"/>
      </w:pPr>
      <w:r w:rsidRPr="00CF0E87">
        <w:t>SD04: Streetscape Pattern (cont.)</w:t>
      </w:r>
    </w:p>
    <w:p w:rsidR="00CF0E87" w:rsidRPr="00CF0E87" w:rsidRDefault="00CF0E87" w:rsidP="00CF0E87">
      <w:pPr>
        <w:rPr>
          <w:b/>
        </w:rPr>
      </w:pPr>
      <w:r w:rsidRPr="00CF0E87">
        <w:rPr>
          <w:b/>
        </w:rPr>
        <w:t>Design Guidelines and Directions:</w:t>
      </w:r>
    </w:p>
    <w:p w:rsidR="00CF0E87" w:rsidRPr="00CF0E87" w:rsidRDefault="00CF0E87" w:rsidP="00CF0E87">
      <w:pPr>
        <w:pStyle w:val="ListNumber2"/>
      </w:pPr>
      <w:r w:rsidRPr="00CF0E87">
        <w:t>All buildings within the pr</w:t>
      </w:r>
      <w:r>
        <w:t xml:space="preserve">ecinct should provide a minimum </w:t>
      </w:r>
      <w:r w:rsidRPr="00CF0E87">
        <w:t>front setback to the roadside kerbs of 5.5m.</w:t>
      </w:r>
    </w:p>
    <w:p w:rsidR="00CF0E87" w:rsidRPr="00CF0E87" w:rsidRDefault="00CF0E87" w:rsidP="00CF0E87">
      <w:pPr>
        <w:pStyle w:val="ListNumber2"/>
      </w:pPr>
      <w:r w:rsidRPr="00CF0E87">
        <w:t xml:space="preserve">Residential development </w:t>
      </w:r>
      <w:r>
        <w:t xml:space="preserve">located on corner sites must be </w:t>
      </w:r>
      <w:r w:rsidRPr="00CF0E87">
        <w:t>designed to address both street frontages. Side elevations</w:t>
      </w:r>
      <w:r>
        <w:t xml:space="preserve"> </w:t>
      </w:r>
      <w:r w:rsidRPr="00CF0E87">
        <w:t>should be given equal att</w:t>
      </w:r>
      <w:r>
        <w:t xml:space="preserve">ention on these sites to create </w:t>
      </w:r>
      <w:r w:rsidRPr="00CF0E87">
        <w:t>‘multi sided’ buildings.</w:t>
      </w:r>
    </w:p>
    <w:p w:rsidR="00CF0E87" w:rsidRPr="00CF0E87" w:rsidRDefault="00CF0E87" w:rsidP="00CF0E87">
      <w:pPr>
        <w:pStyle w:val="ListNumber2"/>
      </w:pPr>
      <w:r w:rsidRPr="00CF0E87">
        <w:t>Residential properties s</w:t>
      </w:r>
      <w:r>
        <w:t xml:space="preserve">hould be consolidated to create </w:t>
      </w:r>
      <w:r w:rsidRPr="00CF0E87">
        <w:t>higher density residential redevelopment sites.</w:t>
      </w:r>
    </w:p>
    <w:p w:rsidR="00CF0E87" w:rsidRPr="00CF0E87" w:rsidRDefault="00CF0E87" w:rsidP="00CF0E87">
      <w:pPr>
        <w:pStyle w:val="ListNumber2"/>
      </w:pPr>
      <w:r w:rsidRPr="00CF0E87">
        <w:t xml:space="preserve">Consolidated </w:t>
      </w:r>
      <w:r>
        <w:t xml:space="preserve">developments should emulate the </w:t>
      </w:r>
      <w:r w:rsidRPr="00CF0E87">
        <w:t>subdivision pattern of the streetscape. Incorporate</w:t>
      </w:r>
      <w:r>
        <w:t xml:space="preserve"> </w:t>
      </w:r>
      <w:r w:rsidRPr="00CF0E87">
        <w:t>articulated facades with building reliefs to correspond</w:t>
      </w:r>
      <w:r>
        <w:t xml:space="preserve"> </w:t>
      </w:r>
      <w:r w:rsidRPr="00CF0E87">
        <w:t>with the prevailing pattern.</w:t>
      </w:r>
    </w:p>
    <w:p w:rsidR="00CF0E87" w:rsidRDefault="00CF0E87" w:rsidP="00CF0E87">
      <w:pPr>
        <w:pStyle w:val="ListNumber2"/>
      </w:pPr>
      <w:r w:rsidRPr="00CF0E87">
        <w:t>Buildings with larger footprint</w:t>
      </w:r>
      <w:r>
        <w:t xml:space="preserve">s should be designed with split </w:t>
      </w:r>
      <w:r w:rsidRPr="00CF0E87">
        <w:t>levels to respond to the topography.</w:t>
      </w:r>
    </w:p>
    <w:p w:rsidR="00372893" w:rsidRDefault="00372893" w:rsidP="00372893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5336275" cy="5002965"/>
            <wp:effectExtent l="0" t="0" r="0" b="7620"/>
            <wp:docPr id="6" name="Picture 6" descr="This image represents the Design Guidelines and Directions for the Streetscape Pattern in the Residential Interface of Eltham Town Centre" title="Streetscape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etscape patter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75" cy="500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93" w:rsidRDefault="00372893" w:rsidP="00372893">
      <w:pPr>
        <w:pStyle w:val="Heading5"/>
      </w:pPr>
      <w:r w:rsidRPr="00372893">
        <w:lastRenderedPageBreak/>
        <w:t>SD05: Functionality (cont.)</w:t>
      </w:r>
    </w:p>
    <w:p w:rsidR="00372893" w:rsidRPr="00372893" w:rsidRDefault="00372893" w:rsidP="00372893">
      <w:pPr>
        <w:rPr>
          <w:b/>
        </w:rPr>
      </w:pPr>
      <w:r w:rsidRPr="00372893">
        <w:rPr>
          <w:b/>
        </w:rPr>
        <w:t>Design Guidelines and Directions:</w:t>
      </w:r>
    </w:p>
    <w:p w:rsidR="00372893" w:rsidRPr="00372893" w:rsidRDefault="00372893" w:rsidP="00372893">
      <w:pPr>
        <w:pStyle w:val="ListNumber2"/>
      </w:pPr>
      <w:r w:rsidRPr="00372893">
        <w:t xml:space="preserve">Private open spaces </w:t>
      </w:r>
      <w:r>
        <w:t xml:space="preserve">should be located in useful and </w:t>
      </w:r>
      <w:r w:rsidRPr="00372893">
        <w:t>meaningful locations rather than left over spaces.</w:t>
      </w:r>
    </w:p>
    <w:p w:rsidR="00372893" w:rsidRPr="00372893" w:rsidRDefault="00372893" w:rsidP="00372893">
      <w:pPr>
        <w:pStyle w:val="ListNumber2"/>
      </w:pPr>
      <w:r w:rsidRPr="00372893">
        <w:t>Medium density housing</w:t>
      </w:r>
      <w:r>
        <w:t xml:space="preserve"> development should be designed </w:t>
      </w:r>
      <w:r w:rsidRPr="00372893">
        <w:t>to prevent cross viewing between units and neighbouring</w:t>
      </w:r>
      <w:r>
        <w:t xml:space="preserve"> </w:t>
      </w:r>
      <w:r w:rsidRPr="00372893">
        <w:t>buildings. Landscaping is the preferred technique to screen</w:t>
      </w:r>
      <w:r>
        <w:t xml:space="preserve"> </w:t>
      </w:r>
      <w:r w:rsidRPr="00372893">
        <w:t>views and provide a buffer to adjoining properties.</w:t>
      </w:r>
    </w:p>
    <w:p w:rsidR="00372893" w:rsidRDefault="00372893" w:rsidP="00372893">
      <w:pPr>
        <w:pStyle w:val="ListNumber2"/>
      </w:pPr>
      <w:r w:rsidRPr="00372893">
        <w:t>Development sited alongs</w:t>
      </w:r>
      <w:r>
        <w:t xml:space="preserve">ide boundaries should be massed </w:t>
      </w:r>
      <w:r w:rsidRPr="00372893">
        <w:t>in a staggered manner to avoid overlooking of adjacent</w:t>
      </w:r>
      <w:r>
        <w:t xml:space="preserve"> </w:t>
      </w:r>
      <w:r w:rsidRPr="00372893">
        <w:t>properties and reduce overshadowing impacts.</w:t>
      </w:r>
    </w:p>
    <w:p w:rsidR="00372893" w:rsidRDefault="00372893" w:rsidP="00372893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14197" cy="3766782"/>
            <wp:effectExtent l="0" t="0" r="1270" b="5715"/>
            <wp:docPr id="7" name="Picture 7" descr="This image represents the Design Guidelines and Directions for the Functionality in the Residential Interface of Eltham Town Centre" title="Function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ctionality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37"/>
                    <a:stretch/>
                  </pic:blipFill>
                  <pic:spPr bwMode="auto">
                    <a:xfrm>
                      <a:off x="0" y="0"/>
                      <a:ext cx="6120130" cy="377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893" w:rsidRDefault="00372893" w:rsidP="00372893">
      <w:pPr>
        <w:pStyle w:val="Heading4"/>
      </w:pPr>
      <w:r w:rsidRPr="00372893">
        <w:t>PART B – Building Design Guidelines</w:t>
      </w:r>
    </w:p>
    <w:p w:rsidR="00372893" w:rsidRDefault="00372893" w:rsidP="00372893">
      <w:pPr>
        <w:pStyle w:val="Heading5"/>
      </w:pPr>
      <w:r w:rsidRPr="00372893">
        <w:t xml:space="preserve">BD01: Building Height </w:t>
      </w:r>
      <w:r>
        <w:t>and</w:t>
      </w:r>
      <w:r w:rsidRPr="00372893">
        <w:t xml:space="preserve"> Form (</w:t>
      </w:r>
      <w:proofErr w:type="spellStart"/>
      <w:r w:rsidRPr="00372893">
        <w:t>cont</w:t>
      </w:r>
      <w:proofErr w:type="spellEnd"/>
      <w:r w:rsidRPr="00372893">
        <w:t>)</w:t>
      </w:r>
    </w:p>
    <w:p w:rsidR="00372893" w:rsidRPr="00372893" w:rsidRDefault="00372893" w:rsidP="00372893">
      <w:pPr>
        <w:rPr>
          <w:b/>
        </w:rPr>
      </w:pPr>
      <w:r w:rsidRPr="00372893">
        <w:rPr>
          <w:b/>
        </w:rPr>
        <w:t>Design Guidelines and Directions:</w:t>
      </w:r>
    </w:p>
    <w:p w:rsidR="00372893" w:rsidRPr="00372893" w:rsidRDefault="00372893" w:rsidP="00372893">
      <w:pPr>
        <w:pStyle w:val="ListNumber2"/>
      </w:pPr>
      <w:r w:rsidRPr="00372893">
        <w:t>Overall building height in an</w:t>
      </w:r>
      <w:r>
        <w:t xml:space="preserve">y part of the precinct must not </w:t>
      </w:r>
      <w:r w:rsidRPr="00372893">
        <w:t>exceed 4 storeys (14.0 metres).</w:t>
      </w:r>
    </w:p>
    <w:p w:rsidR="00372893" w:rsidRPr="00372893" w:rsidRDefault="00372893" w:rsidP="00372893">
      <w:pPr>
        <w:pStyle w:val="ListNumber2"/>
      </w:pPr>
      <w:r w:rsidRPr="00372893">
        <w:t>Building height should be l</w:t>
      </w:r>
      <w:r>
        <w:t xml:space="preserve">imited to a maximum height of 3 </w:t>
      </w:r>
      <w:r w:rsidRPr="00372893">
        <w:t>storeys (10.5 metres) within Sub-precinct 2A:</w:t>
      </w:r>
    </w:p>
    <w:p w:rsidR="00372893" w:rsidRPr="00372893" w:rsidRDefault="00372893" w:rsidP="00372893">
      <w:pPr>
        <w:pStyle w:val="ListBullet"/>
      </w:pPr>
      <w:r w:rsidRPr="00372893">
        <w:t>The third storey should be located in the roof space only.</w:t>
      </w:r>
    </w:p>
    <w:p w:rsidR="00372893" w:rsidRPr="00372893" w:rsidRDefault="00372893" w:rsidP="00372893">
      <w:pPr>
        <w:pStyle w:val="ListBullet"/>
      </w:pPr>
      <w:r w:rsidRPr="00372893">
        <w:t>The building should be set</w:t>
      </w:r>
      <w:r>
        <w:t xml:space="preserve">back a minimum of 5.5m from the </w:t>
      </w:r>
      <w:r w:rsidRPr="00372893">
        <w:t>road kerbs.</w:t>
      </w:r>
    </w:p>
    <w:p w:rsidR="00372893" w:rsidRPr="00372893" w:rsidRDefault="00372893" w:rsidP="00372893">
      <w:pPr>
        <w:pStyle w:val="ListNumber2"/>
      </w:pPr>
      <w:r w:rsidRPr="00372893">
        <w:lastRenderedPageBreak/>
        <w:t xml:space="preserve">Four storey </w:t>
      </w:r>
      <w:proofErr w:type="gramStart"/>
      <w:r w:rsidRPr="00372893">
        <w:t>development</w:t>
      </w:r>
      <w:proofErr w:type="gramEnd"/>
      <w:r w:rsidRPr="00372893">
        <w:t xml:space="preserve"> is permitted on the north-east corner</w:t>
      </w:r>
      <w:r>
        <w:t xml:space="preserve"> </w:t>
      </w:r>
      <w:r w:rsidRPr="00372893">
        <w:t>of Main Road and Luck Street (Sub precinct 2B) and to the land</w:t>
      </w:r>
      <w:r>
        <w:t xml:space="preserve"> </w:t>
      </w:r>
      <w:r w:rsidRPr="00372893">
        <w:t>abutting the east side of the Circulatory Road (26 Pryor, 27</w:t>
      </w:r>
      <w:r>
        <w:t xml:space="preserve"> </w:t>
      </w:r>
      <w:r w:rsidRPr="00372893">
        <w:t>Arthur, 28 Arthur and 31 Dudley Streets) and 25 Pryor Street</w:t>
      </w:r>
      <w:r>
        <w:t xml:space="preserve"> </w:t>
      </w:r>
      <w:r w:rsidRPr="00372893">
        <w:t>(Sub precinct 2C). The fourth storey should be located in the</w:t>
      </w:r>
      <w:r>
        <w:t xml:space="preserve"> </w:t>
      </w:r>
      <w:r w:rsidRPr="00372893">
        <w:t>roof space. The third storey and above should be setback a</w:t>
      </w:r>
      <w:r>
        <w:t xml:space="preserve"> </w:t>
      </w:r>
      <w:r w:rsidRPr="00372893">
        <w:t>minimum of a further 3 metres from the first floor frontage. The</w:t>
      </w:r>
      <w:r>
        <w:t xml:space="preserve"> </w:t>
      </w:r>
      <w:r w:rsidRPr="00372893">
        <w:t>building should be setback a minimum of 5.5m from the road</w:t>
      </w:r>
      <w:r>
        <w:t xml:space="preserve"> </w:t>
      </w:r>
      <w:r w:rsidRPr="00372893">
        <w:t>kerbs. The building must be designed to preserve views from</w:t>
      </w:r>
      <w:r>
        <w:t xml:space="preserve"> </w:t>
      </w:r>
      <w:r w:rsidRPr="00372893">
        <w:t>adjoining residential properties to the treed hilltops to the west.</w:t>
      </w:r>
    </w:p>
    <w:p w:rsidR="00372893" w:rsidRPr="00372893" w:rsidRDefault="00372893" w:rsidP="00372893">
      <w:pPr>
        <w:pStyle w:val="ListNumber2"/>
      </w:pPr>
      <w:r w:rsidRPr="00372893">
        <w:t>Building height within Sub-precinct 2D to the south of Dudle</w:t>
      </w:r>
      <w:r>
        <w:t xml:space="preserve">y </w:t>
      </w:r>
      <w:r w:rsidRPr="00372893">
        <w:t>Street must not exceed 10.5m. The building envelopes should</w:t>
      </w:r>
      <w:r>
        <w:t xml:space="preserve"> </w:t>
      </w:r>
      <w:r w:rsidRPr="00372893">
        <w:t>provide a minimum of 5.5m landscaped front setbacks to create</w:t>
      </w:r>
      <w:r>
        <w:t xml:space="preserve"> </w:t>
      </w:r>
      <w:r w:rsidRPr="00372893">
        <w:t>opportunities for open space areas and allow for canopy</w:t>
      </w:r>
      <w:r>
        <w:t xml:space="preserve"> </w:t>
      </w:r>
      <w:r w:rsidRPr="00372893">
        <w:t>landscaping to be integrated with the total development.</w:t>
      </w:r>
    </w:p>
    <w:p w:rsidR="00372893" w:rsidRDefault="00372893" w:rsidP="00372893">
      <w:pPr>
        <w:pStyle w:val="ListNumber2"/>
      </w:pPr>
      <w:r w:rsidRPr="00372893">
        <w:t xml:space="preserve">Developments sited </w:t>
      </w:r>
      <w:proofErr w:type="spellStart"/>
      <w:r w:rsidRPr="00372893">
        <w:t>along s</w:t>
      </w:r>
      <w:r>
        <w:t>ide</w:t>
      </w:r>
      <w:proofErr w:type="spellEnd"/>
      <w:r>
        <w:t xml:space="preserve"> boundaries should be massed </w:t>
      </w:r>
      <w:r w:rsidRPr="00372893">
        <w:t>in a staggered manner to avoid overlooking of adjacent</w:t>
      </w:r>
      <w:r>
        <w:t xml:space="preserve"> </w:t>
      </w:r>
      <w:r w:rsidRPr="00372893">
        <w:t>properties and reduce overshadowing impacts.</w:t>
      </w:r>
    </w:p>
    <w:p w:rsidR="00372893" w:rsidRDefault="00372893" w:rsidP="00372893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14197" cy="2006221"/>
            <wp:effectExtent l="0" t="0" r="1270" b="0"/>
            <wp:docPr id="9" name="Picture 9" descr="This image represents the Design Guidelines and Directions for the Building Height and Form in the Residential Interface of Eltham Town Centre" title="Building Height and For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height 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55"/>
                    <a:stretch/>
                  </pic:blipFill>
                  <pic:spPr bwMode="auto">
                    <a:xfrm>
                      <a:off x="0" y="0"/>
                      <a:ext cx="6120130" cy="200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893" w:rsidRDefault="00372893" w:rsidP="00372893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4232956" cy="6591869"/>
            <wp:effectExtent l="0" t="0" r="0" b="0"/>
            <wp:docPr id="8" name="Picture 8" descr="This image represents the Design Guidelines and Directions for the Building Height and Form in the Residential Interface of Eltham Town Centre" title="Building Height and For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heigh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895" cy="658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494" w:rsidRDefault="00912494" w:rsidP="00912494">
      <w:pPr>
        <w:pStyle w:val="Heading5"/>
      </w:pPr>
      <w:r w:rsidRPr="00912494">
        <w:t xml:space="preserve">BD02: </w:t>
      </w:r>
      <w:r>
        <w:t>Building Style and</w:t>
      </w:r>
      <w:r w:rsidRPr="00912494">
        <w:t xml:space="preserve"> Façade Composition (</w:t>
      </w:r>
      <w:proofErr w:type="spellStart"/>
      <w:r w:rsidRPr="00912494">
        <w:t>cont</w:t>
      </w:r>
      <w:proofErr w:type="spellEnd"/>
      <w:r w:rsidRPr="00912494">
        <w:t>)</w:t>
      </w:r>
    </w:p>
    <w:p w:rsidR="00912494" w:rsidRPr="00912494" w:rsidRDefault="00912494" w:rsidP="00912494">
      <w:pPr>
        <w:rPr>
          <w:b/>
        </w:rPr>
      </w:pPr>
      <w:r w:rsidRPr="00912494">
        <w:rPr>
          <w:b/>
        </w:rPr>
        <w:t>Design Guidelines and Directions:</w:t>
      </w:r>
    </w:p>
    <w:p w:rsidR="00912494" w:rsidRPr="00912494" w:rsidRDefault="00912494" w:rsidP="00912494">
      <w:pPr>
        <w:pStyle w:val="ListNumber2"/>
      </w:pPr>
      <w:r w:rsidRPr="00912494">
        <w:t>Main pedestrian entrances</w:t>
      </w:r>
      <w:r>
        <w:t xml:space="preserve"> should be clearly legible from </w:t>
      </w:r>
      <w:r w:rsidRPr="00912494">
        <w:t>the street and demarcated with strong architectural and</w:t>
      </w:r>
      <w:r>
        <w:t xml:space="preserve"> </w:t>
      </w:r>
      <w:r w:rsidRPr="00912494">
        <w:t>landscape features.</w:t>
      </w:r>
    </w:p>
    <w:p w:rsidR="00912494" w:rsidRPr="00912494" w:rsidRDefault="00912494" w:rsidP="00912494">
      <w:pPr>
        <w:pStyle w:val="ListNumber2"/>
      </w:pPr>
      <w:r w:rsidRPr="00912494">
        <w:t>New developments s</w:t>
      </w:r>
      <w:r>
        <w:t xml:space="preserve">hould appear to have a domestic </w:t>
      </w:r>
      <w:r w:rsidRPr="00912494">
        <w:t>quality and responds to the residential vernacular of the</w:t>
      </w:r>
      <w:r>
        <w:t xml:space="preserve"> </w:t>
      </w:r>
      <w:r w:rsidRPr="00912494">
        <w:t>area.</w:t>
      </w:r>
    </w:p>
    <w:p w:rsidR="00912494" w:rsidRPr="00912494" w:rsidRDefault="00912494" w:rsidP="00912494">
      <w:pPr>
        <w:pStyle w:val="ListNumber2"/>
      </w:pPr>
      <w:r w:rsidRPr="00912494">
        <w:t>Incorporate a range of m</w:t>
      </w:r>
      <w:r>
        <w:t xml:space="preserve">aterials that are common in the </w:t>
      </w:r>
      <w:r w:rsidRPr="00912494">
        <w:t>area and select earthy/ muted tones to blend with the</w:t>
      </w:r>
      <w:r>
        <w:t xml:space="preserve"> </w:t>
      </w:r>
      <w:r w:rsidRPr="00912494">
        <w:t>landscape.</w:t>
      </w:r>
    </w:p>
    <w:p w:rsidR="00912494" w:rsidRDefault="00912494" w:rsidP="00912494">
      <w:pPr>
        <w:pStyle w:val="ListNumber2"/>
      </w:pPr>
      <w:r w:rsidRPr="00912494">
        <w:lastRenderedPageBreak/>
        <w:t>Incorporate robust element</w:t>
      </w:r>
      <w:r>
        <w:t xml:space="preserve">s such as arbours, pergolas and </w:t>
      </w:r>
      <w:r w:rsidRPr="00912494">
        <w:t>shade structures that are contemporary and simple in style.</w:t>
      </w:r>
    </w:p>
    <w:p w:rsidR="00912494" w:rsidRDefault="00912494" w:rsidP="00912494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5412737" cy="8161361"/>
            <wp:effectExtent l="0" t="0" r="0" b="0"/>
            <wp:docPr id="10" name="Picture 10" descr="This image represents the Design Guidelines and Directions for the Building Style and Façade Composition in the Residential Interface of Eltham Town Centre" title="Building Style and Façade Composi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styl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500" cy="816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494" w:rsidRDefault="00912494" w:rsidP="00912494">
      <w:pPr>
        <w:pStyle w:val="Heading4"/>
      </w:pPr>
      <w:r w:rsidRPr="00912494">
        <w:lastRenderedPageBreak/>
        <w:t>PART B – Building Context Guidelines</w:t>
      </w:r>
    </w:p>
    <w:p w:rsidR="00912494" w:rsidRDefault="00912494" w:rsidP="00912494">
      <w:pPr>
        <w:pStyle w:val="Heading5"/>
      </w:pPr>
      <w:r w:rsidRPr="00912494">
        <w:t>BC01: Acces</w:t>
      </w:r>
      <w:r>
        <w:t>s and</w:t>
      </w:r>
      <w:r w:rsidRPr="00912494">
        <w:t xml:space="preserve"> Parking (</w:t>
      </w:r>
      <w:proofErr w:type="spellStart"/>
      <w:r w:rsidRPr="00912494">
        <w:t>cont</w:t>
      </w:r>
      <w:proofErr w:type="spellEnd"/>
      <w:r w:rsidRPr="00912494">
        <w:t>)</w:t>
      </w:r>
    </w:p>
    <w:p w:rsidR="00912494" w:rsidRPr="00912494" w:rsidRDefault="00912494" w:rsidP="00912494">
      <w:pPr>
        <w:rPr>
          <w:b/>
        </w:rPr>
      </w:pPr>
      <w:r w:rsidRPr="00912494">
        <w:rPr>
          <w:b/>
        </w:rPr>
        <w:t>Design Guidelines and Directions:</w:t>
      </w:r>
    </w:p>
    <w:p w:rsidR="00912494" w:rsidRPr="00912494" w:rsidRDefault="00912494" w:rsidP="00912494">
      <w:pPr>
        <w:pStyle w:val="ListNumber2"/>
      </w:pPr>
      <w:r w:rsidRPr="00912494">
        <w:t>Developments should pro</w:t>
      </w:r>
      <w:r>
        <w:t xml:space="preserve">vide adequate parking spaces to </w:t>
      </w:r>
      <w:r w:rsidRPr="00912494">
        <w:t>service the requirements of the residential/ users while</w:t>
      </w:r>
      <w:r>
        <w:t xml:space="preserve"> </w:t>
      </w:r>
      <w:r w:rsidRPr="00912494">
        <w:t>recognising proximity to t</w:t>
      </w:r>
      <w:r>
        <w:t xml:space="preserve">he public transport interchange </w:t>
      </w:r>
      <w:r w:rsidRPr="00912494">
        <w:t>and Activity Centre location.</w:t>
      </w:r>
    </w:p>
    <w:p w:rsidR="00912494" w:rsidRDefault="00912494" w:rsidP="00912494">
      <w:pPr>
        <w:pStyle w:val="ListNumber2"/>
      </w:pPr>
      <w:r w:rsidRPr="00912494">
        <w:t>Garages and carports s</w:t>
      </w:r>
      <w:r>
        <w:t xml:space="preserve">hould be a secondary element to </w:t>
      </w:r>
      <w:r w:rsidRPr="00912494">
        <w:t>the main façade of the building. Such services should be</w:t>
      </w:r>
      <w:r>
        <w:t xml:space="preserve"> </w:t>
      </w:r>
      <w:r w:rsidRPr="00912494">
        <w:t>setback from the main bu</w:t>
      </w:r>
      <w:r>
        <w:t xml:space="preserve">ilding line except if extensive </w:t>
      </w:r>
      <w:r w:rsidRPr="00912494">
        <w:t>excavation will be required.</w:t>
      </w:r>
    </w:p>
    <w:p w:rsidR="00912494" w:rsidRDefault="00912494" w:rsidP="00912494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14197" cy="4121623"/>
            <wp:effectExtent l="0" t="0" r="1270" b="0"/>
            <wp:docPr id="11" name="Picture 11" descr="This image represents the Design Guidelines and Directions for the Access and Parking in the Residential Interface of Eltham Town Centre" title="Access and Park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 and parking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7"/>
                    <a:stretch/>
                  </pic:blipFill>
                  <pic:spPr bwMode="auto">
                    <a:xfrm>
                      <a:off x="0" y="0"/>
                      <a:ext cx="6120130" cy="412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494" w:rsidRDefault="00912494" w:rsidP="00912494">
      <w:pPr>
        <w:pStyle w:val="Heading5"/>
      </w:pPr>
      <w:r w:rsidRPr="00912494">
        <w:t xml:space="preserve">BC02: Boundary Treatments - Landscape </w:t>
      </w:r>
      <w:r>
        <w:t>and</w:t>
      </w:r>
      <w:r w:rsidRPr="00912494">
        <w:t xml:space="preserve"> Fencing (</w:t>
      </w:r>
      <w:proofErr w:type="spellStart"/>
      <w:r w:rsidRPr="00912494">
        <w:t>cont</w:t>
      </w:r>
      <w:proofErr w:type="spellEnd"/>
      <w:r w:rsidRPr="00912494">
        <w:t>)</w:t>
      </w:r>
    </w:p>
    <w:p w:rsidR="00912494" w:rsidRPr="00912494" w:rsidRDefault="00912494" w:rsidP="00912494">
      <w:pPr>
        <w:rPr>
          <w:b/>
        </w:rPr>
      </w:pPr>
      <w:r w:rsidRPr="00912494">
        <w:rPr>
          <w:b/>
        </w:rPr>
        <w:t>Design Guidelines and Directions:</w:t>
      </w:r>
    </w:p>
    <w:p w:rsidR="00912494" w:rsidRPr="00912494" w:rsidRDefault="00912494" w:rsidP="00912494">
      <w:pPr>
        <w:pStyle w:val="ListNumber2"/>
      </w:pPr>
      <w:r w:rsidRPr="00912494">
        <w:t>It is preferred that front pro</w:t>
      </w:r>
      <w:r>
        <w:t xml:space="preserve">perty boundaries are defined by </w:t>
      </w:r>
      <w:r w:rsidRPr="00912494">
        <w:t>landscape treatments rather than fencing. If front fencing is</w:t>
      </w:r>
      <w:r>
        <w:t xml:space="preserve"> </w:t>
      </w:r>
      <w:r w:rsidRPr="00912494">
        <w:t>required, it should be designe</w:t>
      </w:r>
      <w:r>
        <w:t xml:space="preserve">d to be low in height, visually </w:t>
      </w:r>
      <w:r w:rsidRPr="00912494">
        <w:t>transparent and avoid dominating the streetscape.</w:t>
      </w:r>
    </w:p>
    <w:p w:rsidR="00912494" w:rsidRDefault="00912494" w:rsidP="00912494">
      <w:pPr>
        <w:pStyle w:val="ListNumber2"/>
      </w:pPr>
      <w:r w:rsidRPr="00912494">
        <w:t>Medium density develo</w:t>
      </w:r>
      <w:r>
        <w:t xml:space="preserve">pment should not locate private </w:t>
      </w:r>
      <w:r w:rsidRPr="00912494">
        <w:t>open spaces and screen fencing to face the street.</w:t>
      </w:r>
    </w:p>
    <w:p w:rsidR="00912494" w:rsidRDefault="00912494" w:rsidP="00912494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6114197" cy="2715905"/>
            <wp:effectExtent l="0" t="0" r="1270" b="8255"/>
            <wp:docPr id="12" name="Picture 12" descr="This image represents the Design Guidelines and Directions for the Boundary Treatments - Landscape and Fencing in the Residential Interface of Eltham Town Centre" title="Boundary Treatments - Landscape and Fenc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 and fencing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36"/>
                    <a:stretch/>
                  </pic:blipFill>
                  <pic:spPr bwMode="auto">
                    <a:xfrm>
                      <a:off x="0" y="0"/>
                      <a:ext cx="6120130" cy="271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494" w:rsidRDefault="00912494" w:rsidP="00912494">
      <w:pPr>
        <w:pStyle w:val="Heading5"/>
      </w:pPr>
      <w:r w:rsidRPr="00912494">
        <w:t xml:space="preserve">BC03: </w:t>
      </w:r>
      <w:r>
        <w:t>Signage and</w:t>
      </w:r>
      <w:r w:rsidRPr="00912494">
        <w:t xml:space="preserve"> Lighting (</w:t>
      </w:r>
      <w:proofErr w:type="spellStart"/>
      <w:r w:rsidRPr="00912494">
        <w:t>cont</w:t>
      </w:r>
      <w:proofErr w:type="spellEnd"/>
      <w:r w:rsidRPr="00912494">
        <w:t>)</w:t>
      </w:r>
    </w:p>
    <w:p w:rsidR="00912494" w:rsidRPr="00912494" w:rsidRDefault="00912494" w:rsidP="00912494">
      <w:pPr>
        <w:rPr>
          <w:b/>
        </w:rPr>
      </w:pPr>
      <w:r w:rsidRPr="00912494">
        <w:rPr>
          <w:b/>
        </w:rPr>
        <w:t>Design Guidelines and Directions:</w:t>
      </w:r>
    </w:p>
    <w:p w:rsidR="00912494" w:rsidRPr="00912494" w:rsidRDefault="00912494" w:rsidP="00912494">
      <w:pPr>
        <w:pStyle w:val="ListNumber2"/>
      </w:pPr>
      <w:r w:rsidRPr="00912494">
        <w:t>Signage on non-residential uses should be un</w:t>
      </w:r>
      <w:r>
        <w:t xml:space="preserve">obtrusive. It </w:t>
      </w:r>
      <w:r w:rsidRPr="00912494">
        <w:t>should be subdued in colour, positioned below the eave line</w:t>
      </w:r>
      <w:r>
        <w:t xml:space="preserve"> </w:t>
      </w:r>
      <w:r w:rsidRPr="00912494">
        <w:t>and integrated with the surroundings.</w:t>
      </w:r>
    </w:p>
    <w:p w:rsidR="00912494" w:rsidRPr="00912494" w:rsidRDefault="00912494" w:rsidP="00912494">
      <w:pPr>
        <w:pStyle w:val="ListNumber2"/>
      </w:pPr>
      <w:r w:rsidRPr="00912494">
        <w:t>The brightness of lighting shoul</w:t>
      </w:r>
      <w:r>
        <w:t xml:space="preserve">d be restricted to a level that </w:t>
      </w:r>
      <w:r w:rsidRPr="00912494">
        <w:t>protects the amenity of the area.</w:t>
      </w:r>
    </w:p>
    <w:p w:rsidR="00912494" w:rsidRDefault="00912494" w:rsidP="00912494">
      <w:pPr>
        <w:pStyle w:val="ListNumber2"/>
      </w:pPr>
      <w:r w:rsidRPr="00912494">
        <w:t xml:space="preserve">Overhead lights must not be </w:t>
      </w:r>
      <w:r>
        <w:t xml:space="preserve">higher than the building height </w:t>
      </w:r>
      <w:r w:rsidRPr="00912494">
        <w:t>and must be baffled to prevent light spilling into adjoining</w:t>
      </w:r>
      <w:r>
        <w:t xml:space="preserve"> </w:t>
      </w:r>
      <w:r w:rsidRPr="00912494">
        <w:t>properties.</w:t>
      </w:r>
    </w:p>
    <w:p w:rsidR="00912494" w:rsidRDefault="00912494" w:rsidP="00912494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14197" cy="2238233"/>
            <wp:effectExtent l="0" t="0" r="1270" b="0"/>
            <wp:docPr id="13" name="Picture 13" descr="This image represents the Design Guidelines and Directions for the Signage and Lighting in the Residential Interface of Eltham Town Centre" title="Signage and Light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ge and lighting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09"/>
                    <a:stretch/>
                  </pic:blipFill>
                  <pic:spPr bwMode="auto">
                    <a:xfrm>
                      <a:off x="0" y="0"/>
                      <a:ext cx="6120130" cy="2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494" w:rsidRDefault="00912494" w:rsidP="00912494">
      <w:pPr>
        <w:pStyle w:val="Heading4"/>
      </w:pPr>
      <w:r w:rsidRPr="00912494">
        <w:t>PART B – Public Domain Guidelines</w:t>
      </w:r>
    </w:p>
    <w:p w:rsidR="00912494" w:rsidRDefault="00912494" w:rsidP="00912494">
      <w:pPr>
        <w:pStyle w:val="Heading5"/>
      </w:pPr>
      <w:r w:rsidRPr="00912494">
        <w:t xml:space="preserve">PD01: Access, Footpaths </w:t>
      </w:r>
      <w:r>
        <w:t>and</w:t>
      </w:r>
      <w:r w:rsidRPr="00912494">
        <w:t xml:space="preserve"> Parking (</w:t>
      </w:r>
      <w:proofErr w:type="spellStart"/>
      <w:r w:rsidRPr="00912494">
        <w:t>cont</w:t>
      </w:r>
      <w:proofErr w:type="spellEnd"/>
      <w:r w:rsidRPr="00912494">
        <w:t>)</w:t>
      </w:r>
    </w:p>
    <w:p w:rsidR="00912494" w:rsidRPr="00912494" w:rsidRDefault="00912494" w:rsidP="00912494">
      <w:pPr>
        <w:rPr>
          <w:b/>
        </w:rPr>
      </w:pPr>
      <w:r w:rsidRPr="00912494">
        <w:rPr>
          <w:b/>
        </w:rPr>
        <w:t>Design Guidelines and Directions:</w:t>
      </w:r>
    </w:p>
    <w:p w:rsidR="00912494" w:rsidRPr="00912494" w:rsidRDefault="00912494" w:rsidP="007865E2">
      <w:pPr>
        <w:pStyle w:val="ListNumber2"/>
      </w:pPr>
      <w:r w:rsidRPr="00912494">
        <w:lastRenderedPageBreak/>
        <w:t xml:space="preserve">Extend a special paving </w:t>
      </w:r>
      <w:r>
        <w:t xml:space="preserve">treatment and landscaping along </w:t>
      </w:r>
      <w:r w:rsidRPr="00912494">
        <w:t>Main Road towards Cecil Street to the north and up to</w:t>
      </w:r>
      <w:r>
        <w:t xml:space="preserve"> </w:t>
      </w:r>
      <w:r w:rsidRPr="00912494">
        <w:t>Panther Place to the south. This will assist in defining the</w:t>
      </w:r>
      <w:r>
        <w:t xml:space="preserve"> </w:t>
      </w:r>
      <w:r w:rsidRPr="00912494">
        <w:t>Eltham Town Centre and enhance a gateway experience.</w:t>
      </w:r>
    </w:p>
    <w:p w:rsidR="00912494" w:rsidRDefault="00912494" w:rsidP="007865E2">
      <w:pPr>
        <w:pStyle w:val="ListNumber2"/>
      </w:pPr>
      <w:r w:rsidRPr="00912494">
        <w:t>Upgrade footpaths and ensure bicycle lanes are clearly</w:t>
      </w:r>
      <w:r>
        <w:t xml:space="preserve"> </w:t>
      </w:r>
      <w:r w:rsidRPr="00912494">
        <w:t>marked.</w:t>
      </w:r>
    </w:p>
    <w:p w:rsidR="007865E2" w:rsidRDefault="007865E2" w:rsidP="007865E2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14197" cy="2265529"/>
            <wp:effectExtent l="0" t="0" r="1270" b="1905"/>
            <wp:docPr id="14" name="Picture 14" descr="This image represents the Design Guidelines and Directions for the Access, Footpaths and Parking in the Residential Interface of Eltham Town Centre" title="Access, Footpaths and Park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 and footpaths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50"/>
                    <a:stretch/>
                  </pic:blipFill>
                  <pic:spPr bwMode="auto">
                    <a:xfrm>
                      <a:off x="0" y="0"/>
                      <a:ext cx="6120130" cy="226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5E2" w:rsidRDefault="007865E2" w:rsidP="007865E2">
      <w:pPr>
        <w:pStyle w:val="Heading5"/>
      </w:pPr>
      <w:r w:rsidRPr="007865E2">
        <w:t xml:space="preserve">PD02: </w:t>
      </w:r>
      <w:r>
        <w:t>Landscape – Soft and</w:t>
      </w:r>
      <w:r w:rsidRPr="007865E2">
        <w:t xml:space="preserve"> Hard (</w:t>
      </w:r>
      <w:proofErr w:type="spellStart"/>
      <w:r w:rsidRPr="007865E2">
        <w:t>cont</w:t>
      </w:r>
      <w:proofErr w:type="spellEnd"/>
      <w:r w:rsidRPr="007865E2">
        <w:t>)</w:t>
      </w:r>
    </w:p>
    <w:p w:rsidR="007865E2" w:rsidRPr="007865E2" w:rsidRDefault="007865E2" w:rsidP="007865E2">
      <w:pPr>
        <w:rPr>
          <w:b/>
        </w:rPr>
      </w:pPr>
      <w:r w:rsidRPr="007865E2">
        <w:rPr>
          <w:b/>
        </w:rPr>
        <w:t>Design Guidelines and Directions:</w:t>
      </w:r>
    </w:p>
    <w:p w:rsidR="007865E2" w:rsidRPr="007865E2" w:rsidRDefault="007865E2" w:rsidP="007865E2">
      <w:pPr>
        <w:pStyle w:val="ListNumber2"/>
      </w:pPr>
      <w:r w:rsidRPr="007865E2">
        <w:t>Reinforce consistent</w:t>
      </w:r>
      <w:r>
        <w:t xml:space="preserve"> bush avenues with single theme </w:t>
      </w:r>
      <w:r w:rsidRPr="007865E2">
        <w:t>species along all streets.</w:t>
      </w:r>
    </w:p>
    <w:p w:rsidR="007865E2" w:rsidRDefault="007865E2" w:rsidP="007865E2">
      <w:pPr>
        <w:pStyle w:val="ListNumber2"/>
      </w:pPr>
      <w:r w:rsidRPr="007865E2">
        <w:t>Plant indigenous tree where possible.</w:t>
      </w:r>
    </w:p>
    <w:p w:rsidR="007865E2" w:rsidRPr="007865E2" w:rsidRDefault="007865E2" w:rsidP="007865E2">
      <w:pPr>
        <w:pStyle w:val="ListNumber2"/>
        <w:numPr>
          <w:ilvl w:val="0"/>
          <w:numId w:val="0"/>
        </w:numPr>
      </w:pPr>
      <w:bookmarkStart w:id="0" w:name="_GoBack"/>
      <w:r>
        <w:rPr>
          <w:noProof/>
          <w:lang w:eastAsia="en-AU"/>
        </w:rPr>
        <w:drawing>
          <wp:inline distT="0" distB="0" distL="0" distR="0">
            <wp:extent cx="6114197" cy="2756848"/>
            <wp:effectExtent l="0" t="0" r="1270" b="5715"/>
            <wp:docPr id="15" name="Picture 15" descr="This image represents the Design Guidelines and Directions for the Landscape – Soft and Hard in the Residential Interface of Eltham Town Centre" title="Landscape – Soft and Har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99"/>
                    <a:stretch/>
                  </pic:blipFill>
                  <pic:spPr bwMode="auto">
                    <a:xfrm>
                      <a:off x="0" y="0"/>
                      <a:ext cx="6120130" cy="275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865E2" w:rsidRPr="007865E2" w:rsidSect="00DC5900">
      <w:footerReference w:type="default" r:id="rId21"/>
      <w:pgSz w:w="11906" w:h="16838" w:code="9"/>
      <w:pgMar w:top="1701" w:right="1134" w:bottom="1134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0F2" w:rsidRPr="000D4EDE" w:rsidRDefault="005D20F2" w:rsidP="000D4EDE">
      <w:r>
        <w:separator/>
      </w:r>
    </w:p>
  </w:endnote>
  <w:endnote w:type="continuationSeparator" w:id="0">
    <w:p w:rsidR="005D20F2" w:rsidRPr="000D4EDE" w:rsidRDefault="005D20F2" w:rsidP="000D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D11" w:rsidRPr="00CF0E87" w:rsidRDefault="00CF0E87" w:rsidP="00CF0E87">
    <w:pPr>
      <w:pStyle w:val="Footer"/>
    </w:pPr>
    <w:r w:rsidRPr="00CF0E87">
      <w:t xml:space="preserve">Nillumbik Shire Council </w:t>
    </w:r>
    <w:r>
      <w:t>-</w:t>
    </w:r>
    <w:r w:rsidRPr="00CF0E87">
      <w:t xml:space="preserve"> Design Guidelines </w:t>
    </w:r>
    <w:r>
      <w:t>-</w:t>
    </w:r>
    <w:r w:rsidRPr="00CF0E87">
      <w:t xml:space="preserve"> Eltham Activity Centre </w:t>
    </w:r>
    <w:r>
      <w:t>-</w:t>
    </w:r>
    <w:r w:rsidRPr="00CF0E87">
      <w:t xml:space="preserve"> Residential Interface </w:t>
    </w:r>
    <w:r>
      <w:t>-</w:t>
    </w:r>
    <w:r w:rsidRPr="00CF0E87">
      <w:t xml:space="preserve"> Version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0F2" w:rsidRPr="000D4EDE" w:rsidRDefault="005D20F2" w:rsidP="000D4EDE">
      <w:r>
        <w:separator/>
      </w:r>
    </w:p>
  </w:footnote>
  <w:footnote w:type="continuationSeparator" w:id="0">
    <w:p w:rsidR="005D20F2" w:rsidRPr="000D4EDE" w:rsidRDefault="005D20F2" w:rsidP="000D4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0EFFDA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>
    <w:nsid w:val="FFFFFF7E"/>
    <w:multiLevelType w:val="singleLevel"/>
    <w:tmpl w:val="E8D6DD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C165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7C176A"/>
    <w:lvl w:ilvl="0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9B9634E0"/>
    <w:lvl w:ilvl="0">
      <w:start w:val="1"/>
      <w:numFmt w:val="bullet"/>
      <w:lvlText w:val="–"/>
      <w:lvlJc w:val="left"/>
      <w:pPr>
        <w:ind w:left="926" w:hanging="360"/>
      </w:pPr>
      <w:rPr>
        <w:rFonts w:ascii="TheSans Veolia W2 ExtraLight" w:hAnsi="TheSans Veolia W2 ExtraLight" w:hint="default"/>
      </w:rPr>
    </w:lvl>
  </w:abstractNum>
  <w:abstractNum w:abstractNumId="7">
    <w:nsid w:val="FFFFFF83"/>
    <w:multiLevelType w:val="singleLevel"/>
    <w:tmpl w:val="4CC48C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F986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F858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</w:abstractNum>
  <w:abstractNum w:abstractNumId="10">
    <w:nsid w:val="1E1E23EE"/>
    <w:multiLevelType w:val="multilevel"/>
    <w:tmpl w:val="992E0F54"/>
    <w:styleLink w:val="CustomHeadingList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F0A6A75"/>
    <w:multiLevelType w:val="multilevel"/>
    <w:tmpl w:val="DFDC7920"/>
    <w:styleLink w:val="General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266C3831"/>
    <w:multiLevelType w:val="hybridMultilevel"/>
    <w:tmpl w:val="B9C8CCF6"/>
    <w:lvl w:ilvl="0" w:tplc="7F4E79E8">
      <w:start w:val="1"/>
      <w:numFmt w:val="bullet"/>
      <w:pStyle w:val="BodyBullet1"/>
      <w:lvlText w:val="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2D4F791F"/>
    <w:multiLevelType w:val="hybridMultilevel"/>
    <w:tmpl w:val="F1C24B26"/>
    <w:lvl w:ilvl="0" w:tplc="678E1022">
      <w:start w:val="1"/>
      <w:numFmt w:val="bullet"/>
      <w:pStyle w:val="BodyBullet2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408564EA"/>
    <w:multiLevelType w:val="multilevel"/>
    <w:tmpl w:val="1E5033B0"/>
    <w:lvl w:ilvl="0">
      <w:start w:val="1"/>
      <w:numFmt w:val="decimal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suff w:val="space"/>
      <w:lvlText w:val="Appendix %6: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5">
    <w:nsid w:val="43F148C1"/>
    <w:multiLevelType w:val="multilevel"/>
    <w:tmpl w:val="30A0F66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ListBullet3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pStyle w:val="ListBullet4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pStyle w:val="Notes"/>
      <w:suff w:val="spac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440839EF"/>
    <w:multiLevelType w:val="hybridMultilevel"/>
    <w:tmpl w:val="E9725768"/>
    <w:lvl w:ilvl="0" w:tplc="C2A6D20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4A0445F4"/>
    <w:multiLevelType w:val="multilevel"/>
    <w:tmpl w:val="94B6B680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8">
    <w:nsid w:val="52572A3C"/>
    <w:multiLevelType w:val="multilevel"/>
    <w:tmpl w:val="F3F485EE"/>
    <w:lvl w:ilvl="0">
      <w:start w:val="1"/>
      <w:numFmt w:val="decimal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1077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5A426B28"/>
    <w:multiLevelType w:val="multilevel"/>
    <w:tmpl w:val="88E67880"/>
    <w:styleLink w:val="MultiLevelheadinglist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0">
    <w:nsid w:val="642C3DB9"/>
    <w:multiLevelType w:val="multilevel"/>
    <w:tmpl w:val="E0D87D34"/>
    <w:lvl w:ilvl="0">
      <w:start w:val="1"/>
      <w:numFmt w:val="decimal"/>
      <w:pStyle w:val="Heading1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pStyle w:val="AppendixHeading"/>
      <w:suff w:val="space"/>
      <w:lvlText w:val="Appendix %6:"/>
      <w:lvlJc w:val="left"/>
      <w:pPr>
        <w:ind w:left="0" w:firstLine="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21">
    <w:nsid w:val="64363A73"/>
    <w:multiLevelType w:val="multilevel"/>
    <w:tmpl w:val="0B7AC5B6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%1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Appendix %4: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077" w:hanging="357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077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66522948"/>
    <w:multiLevelType w:val="hybridMultilevel"/>
    <w:tmpl w:val="DC762AC0"/>
    <w:lvl w:ilvl="0" w:tplc="87D44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4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AB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EB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DCA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E1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25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00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C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2D81143"/>
    <w:multiLevelType w:val="hybridMultilevel"/>
    <w:tmpl w:val="DA0ECEA2"/>
    <w:lvl w:ilvl="0" w:tplc="90FA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E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A6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A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0D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0F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49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65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AA2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7"/>
  </w:num>
  <w:num w:numId="5">
    <w:abstractNumId w:val="8"/>
  </w:num>
  <w:num w:numId="6">
    <w:abstractNumId w:val="9"/>
  </w:num>
  <w:num w:numId="7">
    <w:abstractNumId w:val="9"/>
  </w:num>
  <w:num w:numId="8">
    <w:abstractNumId w:val="3"/>
  </w:num>
  <w:num w:numId="9">
    <w:abstractNumId w:val="2"/>
  </w:num>
  <w:num w:numId="10">
    <w:abstractNumId w:val="17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2"/>
  </w:num>
  <w:num w:numId="16">
    <w:abstractNumId w:val="23"/>
  </w:num>
  <w:num w:numId="17">
    <w:abstractNumId w:val="6"/>
  </w:num>
  <w:num w:numId="18">
    <w:abstractNumId w:val="5"/>
  </w:num>
  <w:num w:numId="19">
    <w:abstractNumId w:val="1"/>
  </w:num>
  <w:num w:numId="20">
    <w:abstractNumId w:val="16"/>
  </w:num>
  <w:num w:numId="21">
    <w:abstractNumId w:val="4"/>
  </w:num>
  <w:num w:numId="22">
    <w:abstractNumId w:val="0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attachedTemplate r:id="rId1"/>
  <w:documentProtection w:formatting="1" w:enforcement="1" w:cryptProviderType="rsaAES" w:cryptAlgorithmClass="hash" w:cryptAlgorithmType="typeAny" w:cryptAlgorithmSid="14" w:cryptSpinCount="100000" w:hash="YXPrxfdIRAPxlJlZIIoSeH3uDJ+sT80VTzTgLcvtUbJPe2828oCMvPPOLeZZN3q5wXw1q+AmjdiKH2iv7+d0+g==" w:salt="pFCTkbQTnsIia8xuWoWyUQ=="/>
  <w:styleLockTheme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E87"/>
    <w:rsid w:val="00005D98"/>
    <w:rsid w:val="00012728"/>
    <w:rsid w:val="00034A19"/>
    <w:rsid w:val="00036F9E"/>
    <w:rsid w:val="000413B3"/>
    <w:rsid w:val="00083512"/>
    <w:rsid w:val="00086F71"/>
    <w:rsid w:val="000949AD"/>
    <w:rsid w:val="00095109"/>
    <w:rsid w:val="00096B0F"/>
    <w:rsid w:val="000A490E"/>
    <w:rsid w:val="000B63CA"/>
    <w:rsid w:val="000C14D9"/>
    <w:rsid w:val="000D4EDE"/>
    <w:rsid w:val="00123576"/>
    <w:rsid w:val="00124B21"/>
    <w:rsid w:val="001653B6"/>
    <w:rsid w:val="001820D0"/>
    <w:rsid w:val="0018235E"/>
    <w:rsid w:val="0019337A"/>
    <w:rsid w:val="001E0F51"/>
    <w:rsid w:val="001E6D6A"/>
    <w:rsid w:val="001F6E1A"/>
    <w:rsid w:val="00240126"/>
    <w:rsid w:val="00252E6A"/>
    <w:rsid w:val="002661A6"/>
    <w:rsid w:val="00266C23"/>
    <w:rsid w:val="00286EAD"/>
    <w:rsid w:val="0029389B"/>
    <w:rsid w:val="002A7D14"/>
    <w:rsid w:val="002B4550"/>
    <w:rsid w:val="002B6303"/>
    <w:rsid w:val="002B7504"/>
    <w:rsid w:val="002C0D97"/>
    <w:rsid w:val="002C7065"/>
    <w:rsid w:val="002C7F4A"/>
    <w:rsid w:val="002D2804"/>
    <w:rsid w:val="002F0C2C"/>
    <w:rsid w:val="00303D18"/>
    <w:rsid w:val="00307ADD"/>
    <w:rsid w:val="003130CA"/>
    <w:rsid w:val="00316A25"/>
    <w:rsid w:val="003706A1"/>
    <w:rsid w:val="00371F54"/>
    <w:rsid w:val="00372893"/>
    <w:rsid w:val="00383A95"/>
    <w:rsid w:val="003A3021"/>
    <w:rsid w:val="003B6E16"/>
    <w:rsid w:val="003D27CB"/>
    <w:rsid w:val="003E6BF6"/>
    <w:rsid w:val="003F0F0D"/>
    <w:rsid w:val="0040173E"/>
    <w:rsid w:val="00435324"/>
    <w:rsid w:val="00436FB3"/>
    <w:rsid w:val="00463FA8"/>
    <w:rsid w:val="00486BC5"/>
    <w:rsid w:val="00494335"/>
    <w:rsid w:val="004B584E"/>
    <w:rsid w:val="004C1106"/>
    <w:rsid w:val="004E2269"/>
    <w:rsid w:val="00503A51"/>
    <w:rsid w:val="00512309"/>
    <w:rsid w:val="0054526E"/>
    <w:rsid w:val="005476B5"/>
    <w:rsid w:val="005A3F63"/>
    <w:rsid w:val="005B073E"/>
    <w:rsid w:val="005B227F"/>
    <w:rsid w:val="005B7801"/>
    <w:rsid w:val="005D20F2"/>
    <w:rsid w:val="005D5FAE"/>
    <w:rsid w:val="005E074A"/>
    <w:rsid w:val="005F29B7"/>
    <w:rsid w:val="00606EB5"/>
    <w:rsid w:val="00617FDA"/>
    <w:rsid w:val="00634E4C"/>
    <w:rsid w:val="00636B8B"/>
    <w:rsid w:val="006427FE"/>
    <w:rsid w:val="006506C1"/>
    <w:rsid w:val="0066674D"/>
    <w:rsid w:val="00666A78"/>
    <w:rsid w:val="0069375D"/>
    <w:rsid w:val="0069407C"/>
    <w:rsid w:val="0069574E"/>
    <w:rsid w:val="006A01B1"/>
    <w:rsid w:val="006F145A"/>
    <w:rsid w:val="006F27CB"/>
    <w:rsid w:val="006F5865"/>
    <w:rsid w:val="00755163"/>
    <w:rsid w:val="00756AAB"/>
    <w:rsid w:val="00757F63"/>
    <w:rsid w:val="007645AE"/>
    <w:rsid w:val="00764992"/>
    <w:rsid w:val="00773673"/>
    <w:rsid w:val="00775AA0"/>
    <w:rsid w:val="007865E2"/>
    <w:rsid w:val="007A0FA2"/>
    <w:rsid w:val="007A6E88"/>
    <w:rsid w:val="007B5ECC"/>
    <w:rsid w:val="007C08B1"/>
    <w:rsid w:val="007C2CC2"/>
    <w:rsid w:val="007C39E4"/>
    <w:rsid w:val="007C5F64"/>
    <w:rsid w:val="007C79AA"/>
    <w:rsid w:val="007E525D"/>
    <w:rsid w:val="007F2954"/>
    <w:rsid w:val="00824E28"/>
    <w:rsid w:val="00845843"/>
    <w:rsid w:val="008637EC"/>
    <w:rsid w:val="00870BC6"/>
    <w:rsid w:val="00885A14"/>
    <w:rsid w:val="0088689B"/>
    <w:rsid w:val="0089031E"/>
    <w:rsid w:val="00890FA0"/>
    <w:rsid w:val="008A214D"/>
    <w:rsid w:val="008A72D2"/>
    <w:rsid w:val="008B6868"/>
    <w:rsid w:val="008C6A43"/>
    <w:rsid w:val="008D080C"/>
    <w:rsid w:val="008F66EC"/>
    <w:rsid w:val="00906799"/>
    <w:rsid w:val="00912494"/>
    <w:rsid w:val="00924152"/>
    <w:rsid w:val="0093194D"/>
    <w:rsid w:val="00934C3F"/>
    <w:rsid w:val="009417AE"/>
    <w:rsid w:val="00952D4C"/>
    <w:rsid w:val="009979F4"/>
    <w:rsid w:val="009A45B2"/>
    <w:rsid w:val="009D2DDD"/>
    <w:rsid w:val="00A24D11"/>
    <w:rsid w:val="00A33802"/>
    <w:rsid w:val="00A37E51"/>
    <w:rsid w:val="00A62D31"/>
    <w:rsid w:val="00A97E3B"/>
    <w:rsid w:val="00AB039E"/>
    <w:rsid w:val="00AC286B"/>
    <w:rsid w:val="00AF129F"/>
    <w:rsid w:val="00B0348A"/>
    <w:rsid w:val="00B12DC9"/>
    <w:rsid w:val="00B13F84"/>
    <w:rsid w:val="00B15ABA"/>
    <w:rsid w:val="00B23077"/>
    <w:rsid w:val="00B41D8E"/>
    <w:rsid w:val="00B42B2F"/>
    <w:rsid w:val="00B472E1"/>
    <w:rsid w:val="00B6789D"/>
    <w:rsid w:val="00B71170"/>
    <w:rsid w:val="00B81740"/>
    <w:rsid w:val="00B85D7B"/>
    <w:rsid w:val="00B900EA"/>
    <w:rsid w:val="00B91069"/>
    <w:rsid w:val="00BC2832"/>
    <w:rsid w:val="00BD06AB"/>
    <w:rsid w:val="00BD74A8"/>
    <w:rsid w:val="00C00FDA"/>
    <w:rsid w:val="00C04E4B"/>
    <w:rsid w:val="00C235A8"/>
    <w:rsid w:val="00C62BF5"/>
    <w:rsid w:val="00C636DA"/>
    <w:rsid w:val="00C72271"/>
    <w:rsid w:val="00C8017D"/>
    <w:rsid w:val="00C8274D"/>
    <w:rsid w:val="00CA1EAA"/>
    <w:rsid w:val="00CA6FF9"/>
    <w:rsid w:val="00CB4238"/>
    <w:rsid w:val="00CC176E"/>
    <w:rsid w:val="00CC34EB"/>
    <w:rsid w:val="00CC4A14"/>
    <w:rsid w:val="00CC66EA"/>
    <w:rsid w:val="00CE2E48"/>
    <w:rsid w:val="00CF0E87"/>
    <w:rsid w:val="00D021F7"/>
    <w:rsid w:val="00D078A2"/>
    <w:rsid w:val="00D20D27"/>
    <w:rsid w:val="00D461C2"/>
    <w:rsid w:val="00D61AAE"/>
    <w:rsid w:val="00D637B7"/>
    <w:rsid w:val="00DA4C48"/>
    <w:rsid w:val="00DA727D"/>
    <w:rsid w:val="00DB53A7"/>
    <w:rsid w:val="00DC5900"/>
    <w:rsid w:val="00DD170F"/>
    <w:rsid w:val="00DE0A8A"/>
    <w:rsid w:val="00DF6E54"/>
    <w:rsid w:val="00E04228"/>
    <w:rsid w:val="00E04457"/>
    <w:rsid w:val="00E04BBC"/>
    <w:rsid w:val="00E159D7"/>
    <w:rsid w:val="00E21653"/>
    <w:rsid w:val="00E2414E"/>
    <w:rsid w:val="00E7257D"/>
    <w:rsid w:val="00E84A6B"/>
    <w:rsid w:val="00E92385"/>
    <w:rsid w:val="00E96DEA"/>
    <w:rsid w:val="00EA1FBB"/>
    <w:rsid w:val="00EA48AE"/>
    <w:rsid w:val="00EC457D"/>
    <w:rsid w:val="00EF2A15"/>
    <w:rsid w:val="00EF5BFD"/>
    <w:rsid w:val="00F34D63"/>
    <w:rsid w:val="00F34DCA"/>
    <w:rsid w:val="00F42EC2"/>
    <w:rsid w:val="00F76C98"/>
    <w:rsid w:val="00F80750"/>
    <w:rsid w:val="00F85F59"/>
    <w:rsid w:val="00F86DD4"/>
    <w:rsid w:val="00FB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locked="0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 w:semiHidden="0"/>
    <w:lsdException w:name="header" w:locked="0" w:semiHidden="0"/>
    <w:lsdException w:name="footer" w:locked="0" w:semiHidden="0"/>
    <w:lsdException w:name="caption" w:semiHidden="0" w:uiPriority="35" w:qFormat="1"/>
    <w:lsdException w:name="footnote reference" w:locked="0" w:semiHidden="0"/>
    <w:lsdException w:name="endnote reference" w:locked="0" w:semiHidden="0"/>
    <w:lsdException w:name="endnote text" w:locked="0" w:semiHidden="0"/>
    <w:lsdException w:name="List Bullet" w:semiHidden="0" w:qFormat="1"/>
    <w:lsdException w:name="List Number" w:semiHidden="0" w:unhideWhenUsed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Title" w:semiHidden="0" w:uiPriority="10" w:unhideWhenUsed="0" w:qFormat="1"/>
    <w:lsdException w:name="Default Paragraph Font" w:locked="0" w:uiPriority="1"/>
    <w:lsdException w:name="Subtitle" w:uiPriority="11" w:qFormat="1"/>
    <w:lsdException w:name="Hyperlink" w:locked="0"/>
    <w:lsdException w:name="FollowedHyperlink" w:locked="0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DC5900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12728"/>
    <w:pPr>
      <w:keepNext/>
      <w:keepLines/>
      <w:numPr>
        <w:numId w:val="31"/>
      </w:numPr>
      <w:spacing w:before="240"/>
      <w:outlineLvl w:val="0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728"/>
    <w:pPr>
      <w:keepNext/>
      <w:keepLines/>
      <w:numPr>
        <w:ilvl w:val="1"/>
        <w:numId w:val="31"/>
      </w:numPr>
      <w:spacing w:before="24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12728"/>
    <w:pPr>
      <w:keepNext/>
      <w:keepLines/>
      <w:numPr>
        <w:ilvl w:val="2"/>
        <w:numId w:val="31"/>
      </w:numPr>
      <w:spacing w:before="240"/>
      <w:outlineLvl w:val="2"/>
    </w:pPr>
    <w:rPr>
      <w:rFonts w:asciiTheme="majorHAnsi" w:eastAsiaTheme="majorEastAsia" w:hAnsiTheme="majorHAnsi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31E"/>
    <w:pPr>
      <w:keepNext/>
      <w:keepLines/>
      <w:numPr>
        <w:ilvl w:val="3"/>
        <w:numId w:val="31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1D8E"/>
    <w:pPr>
      <w:keepNext/>
      <w:keepLines/>
      <w:numPr>
        <w:ilvl w:val="4"/>
        <w:numId w:val="31"/>
      </w:numPr>
      <w:spacing w:before="240"/>
      <w:outlineLvl w:val="4"/>
    </w:pPr>
    <w:rPr>
      <w:rFonts w:asciiTheme="majorHAnsi" w:eastAsiaTheme="majorEastAsia" w:hAnsiTheme="majorHAnsi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F807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F807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F807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F807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28"/>
    <w:rPr>
      <w:rFonts w:asciiTheme="majorHAnsi" w:eastAsiaTheme="majorEastAsia" w:hAnsiTheme="majorHAnsi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2728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2728"/>
    <w:rPr>
      <w:rFonts w:asciiTheme="majorHAnsi" w:eastAsiaTheme="majorEastAsia" w:hAnsiTheme="majorHAnsi" w:cstheme="majorBidi"/>
      <w:bCs/>
      <w:sz w:val="26"/>
    </w:rPr>
  </w:style>
  <w:style w:type="paragraph" w:customStyle="1" w:styleId="CoverSubtitle">
    <w:name w:val="Cover Subtitle"/>
    <w:basedOn w:val="Normal"/>
    <w:next w:val="CoverIntroductionText"/>
    <w:uiPriority w:val="20"/>
    <w:qFormat/>
    <w:rsid w:val="009417AE"/>
    <w:pPr>
      <w:spacing w:after="0"/>
    </w:pPr>
    <w:rPr>
      <w:rFonts w:asciiTheme="majorHAnsi" w:hAnsiTheme="majorHAnsi"/>
      <w:sz w:val="36"/>
    </w:rPr>
  </w:style>
  <w:style w:type="paragraph" w:customStyle="1" w:styleId="BodyBullet1">
    <w:name w:val="Body Bullet 1"/>
    <w:basedOn w:val="Normal"/>
    <w:semiHidden/>
    <w:qFormat/>
    <w:locked/>
    <w:rsid w:val="008A72D2"/>
    <w:pPr>
      <w:numPr>
        <w:numId w:val="1"/>
      </w:numPr>
      <w:spacing w:line="240" w:lineRule="atLeast"/>
      <w:ind w:left="714" w:hanging="357"/>
      <w:contextualSpacing/>
    </w:pPr>
  </w:style>
  <w:style w:type="paragraph" w:customStyle="1" w:styleId="BodyBullet2">
    <w:name w:val="Body Bullet 2"/>
    <w:basedOn w:val="BodyBullet1"/>
    <w:semiHidden/>
    <w:qFormat/>
    <w:locked/>
    <w:rsid w:val="008A72D2"/>
    <w:pPr>
      <w:numPr>
        <w:numId w:val="2"/>
      </w:numPr>
      <w:ind w:hanging="357"/>
    </w:pPr>
  </w:style>
  <w:style w:type="paragraph" w:customStyle="1" w:styleId="CoverIntroductionText">
    <w:name w:val="Cover Introduction Text"/>
    <w:basedOn w:val="Normal"/>
    <w:uiPriority w:val="20"/>
    <w:rsid w:val="003E6BF6"/>
    <w:pPr>
      <w:spacing w:after="113"/>
    </w:pPr>
    <w:rPr>
      <w:color w:val="000000" w:themeColor="text1"/>
      <w:spacing w:val="-2"/>
    </w:rPr>
  </w:style>
  <w:style w:type="character" w:customStyle="1" w:styleId="Heading4Char">
    <w:name w:val="Heading 4 Char"/>
    <w:basedOn w:val="DefaultParagraphFont"/>
    <w:link w:val="Heading4"/>
    <w:uiPriority w:val="9"/>
    <w:rsid w:val="0089031E"/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ListBullet">
    <w:name w:val="List Bullet"/>
    <w:basedOn w:val="Normal"/>
    <w:uiPriority w:val="16"/>
    <w:qFormat/>
    <w:rsid w:val="00503A51"/>
    <w:pPr>
      <w:numPr>
        <w:numId w:val="25"/>
      </w:numPr>
    </w:pPr>
  </w:style>
  <w:style w:type="paragraph" w:styleId="ListBullet2">
    <w:name w:val="List Bullet 2"/>
    <w:basedOn w:val="ListBullet"/>
    <w:uiPriority w:val="16"/>
    <w:qFormat/>
    <w:rsid w:val="00503A51"/>
    <w:pPr>
      <w:numPr>
        <w:ilvl w:val="1"/>
      </w:numPr>
    </w:pPr>
    <w:rPr>
      <w:color w:val="000000" w:themeColor="text1"/>
    </w:rPr>
  </w:style>
  <w:style w:type="paragraph" w:styleId="ListNumber">
    <w:name w:val="List Number"/>
    <w:basedOn w:val="Normal"/>
    <w:uiPriority w:val="16"/>
    <w:qFormat/>
    <w:rsid w:val="00E84A6B"/>
    <w:pPr>
      <w:numPr>
        <w:ilvl w:val="6"/>
        <w:numId w:val="31"/>
      </w:numPr>
    </w:pPr>
  </w:style>
  <w:style w:type="paragraph" w:styleId="ListNumber2">
    <w:name w:val="List Number 2"/>
    <w:basedOn w:val="Normal"/>
    <w:uiPriority w:val="16"/>
    <w:qFormat/>
    <w:rsid w:val="00E84A6B"/>
    <w:pPr>
      <w:numPr>
        <w:ilvl w:val="7"/>
        <w:numId w:val="31"/>
      </w:numPr>
    </w:pPr>
  </w:style>
  <w:style w:type="numbering" w:customStyle="1" w:styleId="Lists">
    <w:name w:val="Lists"/>
    <w:uiPriority w:val="99"/>
    <w:rsid w:val="00CB4238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EA48AE"/>
    <w:pPr>
      <w:numPr>
        <w:ilvl w:val="8"/>
        <w:numId w:val="31"/>
      </w:numPr>
    </w:pPr>
  </w:style>
  <w:style w:type="paragraph" w:styleId="Title">
    <w:name w:val="Title"/>
    <w:basedOn w:val="Normal"/>
    <w:next w:val="CoverSubtitle"/>
    <w:link w:val="TitleChar"/>
    <w:uiPriority w:val="18"/>
    <w:qFormat/>
    <w:rsid w:val="00AC286B"/>
    <w:pPr>
      <w:spacing w:before="240" w:after="240"/>
    </w:pPr>
    <w:rPr>
      <w:rFonts w:asciiTheme="majorHAnsi" w:eastAsiaTheme="majorEastAsia" w:hAnsiTheme="majorHAnsi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8"/>
    <w:rsid w:val="00DC5900"/>
    <w:rPr>
      <w:rFonts w:asciiTheme="majorHAnsi" w:eastAsiaTheme="majorEastAsia" w:hAnsiTheme="majorHAnsi" w:cstheme="majorBidi"/>
      <w:b/>
      <w:sz w:val="40"/>
      <w:szCs w:val="52"/>
    </w:rPr>
  </w:style>
  <w:style w:type="numbering" w:customStyle="1" w:styleId="MultiLevelheadinglist">
    <w:name w:val="Multi Level heading list"/>
    <w:uiPriority w:val="99"/>
    <w:rsid w:val="00D461C2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rsid w:val="009417AE"/>
    <w:pPr>
      <w:tabs>
        <w:tab w:val="left" w:pos="440"/>
        <w:tab w:val="right" w:leader="dot" w:pos="10546"/>
      </w:tabs>
      <w:spacing w:before="57" w:after="57"/>
      <w:contextualSpacing/>
    </w:pPr>
    <w:rPr>
      <w:sz w:val="26"/>
    </w:rPr>
  </w:style>
  <w:style w:type="paragraph" w:styleId="TOCHeading">
    <w:name w:val="TOC Heading"/>
    <w:basedOn w:val="Heading1"/>
    <w:next w:val="Normal"/>
    <w:uiPriority w:val="39"/>
    <w:qFormat/>
    <w:rsid w:val="003E6BF6"/>
    <w:pPr>
      <w:numPr>
        <w:numId w:val="0"/>
      </w:numPr>
      <w:outlineLvl w:val="9"/>
    </w:pPr>
  </w:style>
  <w:style w:type="paragraph" w:styleId="Footer">
    <w:name w:val="footer"/>
    <w:basedOn w:val="Normal"/>
    <w:link w:val="FooterChar"/>
    <w:uiPriority w:val="99"/>
    <w:rsid w:val="0069407C"/>
    <w:pPr>
      <w:tabs>
        <w:tab w:val="center" w:pos="4513"/>
        <w:tab w:val="right" w:pos="9026"/>
      </w:tabs>
      <w:spacing w:line="200" w:lineRule="exact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9407C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qFormat/>
    <w:rsid w:val="00503A51"/>
    <w:pPr>
      <w:numPr>
        <w:ilvl w:val="2"/>
        <w:numId w:val="25"/>
      </w:numPr>
      <w:contextualSpacing/>
    </w:pPr>
  </w:style>
  <w:style w:type="paragraph" w:styleId="ListBullet4">
    <w:name w:val="List Bullet 4"/>
    <w:basedOn w:val="Normal"/>
    <w:uiPriority w:val="16"/>
    <w:qFormat/>
    <w:rsid w:val="00503A51"/>
    <w:pPr>
      <w:numPr>
        <w:ilvl w:val="3"/>
        <w:numId w:val="25"/>
      </w:numPr>
      <w:contextualSpacing/>
    </w:pPr>
  </w:style>
  <w:style w:type="table" w:styleId="TableGrid">
    <w:name w:val="Table Grid"/>
    <w:basedOn w:val="TableNormal"/>
    <w:uiPriority w:val="59"/>
    <w:rsid w:val="00DC5900"/>
    <w:pPr>
      <w:spacing w:before="57" w:after="57"/>
      <w:ind w:left="108" w:right="108"/>
    </w:pPr>
    <w:tblPr>
      <w:tblBorders>
        <w:top w:val="single" w:sz="4" w:space="0" w:color="CDC3BD" w:themeColor="accent3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CDC3BD" w:themeColor="accent3"/>
        <w:insideV w:val="single" w:sz="4" w:space="0" w:color="CDC3BD" w:themeColor="accent3"/>
      </w:tblBorders>
      <w:tblCellMar>
        <w:left w:w="0" w:type="dxa"/>
        <w:right w:w="0" w:type="dxa"/>
      </w:tblCellMar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</w:style>
  <w:style w:type="paragraph" w:styleId="Caption">
    <w:name w:val="caption"/>
    <w:basedOn w:val="Normal"/>
    <w:next w:val="Normal"/>
    <w:uiPriority w:val="35"/>
    <w:qFormat/>
    <w:rsid w:val="003E6BF6"/>
    <w:pPr>
      <w:spacing w:after="34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rsid w:val="00755163"/>
    <w:pPr>
      <w:tabs>
        <w:tab w:val="center" w:pos="4513"/>
        <w:tab w:val="right" w:pos="9026"/>
      </w:tabs>
      <w:spacing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55163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noProof w:val="0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unhideWhenUsed/>
    <w:rsid w:val="00764992"/>
    <w:rPr>
      <w:noProof w:val="0"/>
      <w:color w:val="808080"/>
      <w:sz w:val="16"/>
      <w:lang w:val="en-AU"/>
    </w:rPr>
  </w:style>
  <w:style w:type="paragraph" w:styleId="ListNumber4">
    <w:name w:val="List Number 4"/>
    <w:basedOn w:val="Normal"/>
    <w:uiPriority w:val="16"/>
    <w:semiHidden/>
    <w:qFormat/>
    <w:locked/>
    <w:rsid w:val="00DA4C48"/>
    <w:p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E58E1A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00456B" w:themeColor="accent1"/>
        <w:left w:val="single" w:sz="2" w:space="10" w:color="00456B" w:themeColor="accent1"/>
        <w:bottom w:val="single" w:sz="2" w:space="10" w:color="00456B" w:themeColor="accent1"/>
        <w:right w:val="single" w:sz="2" w:space="10" w:color="00456B" w:themeColor="accent1"/>
      </w:pBdr>
      <w:ind w:left="1152" w:right="1152"/>
    </w:pPr>
    <w:rPr>
      <w:rFonts w:asciiTheme="minorHAnsi" w:eastAsiaTheme="minorEastAsia" w:hAnsiTheme="minorHAnsi"/>
      <w:i/>
      <w:iCs/>
      <w:color w:val="00456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F80750"/>
    <w:rPr>
      <w:noProof w:val="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  <w:rPr>
      <w:noProof w:val="0"/>
      <w:lang w:val="en-AU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noProof w:val="0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  <w:rPr>
      <w:noProof w:val="0"/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  <w:rPr>
      <w:noProof w:val="0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noProof w:val="0"/>
      <w:sz w:val="16"/>
      <w:szCs w:val="16"/>
      <w:lang w:val="en-AU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  <w:rPr>
      <w:noProof w:val="0"/>
      <w:lang w:val="en-AU"/>
    </w:rPr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EE2FF" w:themeFill="accent1" w:themeFillTint="33"/>
    </w:tcPr>
    <w:tblStylePr w:type="firstRow">
      <w:rPr>
        <w:b/>
        <w:bCs/>
      </w:rPr>
      <w:tblPr/>
      <w:tcPr>
        <w:shd w:val="clear" w:color="auto" w:fill="5DC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C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1" w:themeFill="accent2" w:themeFillTint="33"/>
    </w:tcPr>
    <w:tblStylePr w:type="firstRow">
      <w:rPr>
        <w:b/>
        <w:bCs/>
      </w:rPr>
      <w:tblPr/>
      <w:tcPr>
        <w:shd w:val="clear" w:color="auto" w:fill="F4D1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1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2F1" w:themeFill="accent3" w:themeFillTint="33"/>
    </w:tcPr>
    <w:tblStylePr w:type="firstRow">
      <w:rPr>
        <w:b/>
        <w:bCs/>
      </w:rPr>
      <w:tblPr/>
      <w:tcPr>
        <w:shd w:val="clear" w:color="auto" w:fill="EBE6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E6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3E1" w:themeFill="accent4" w:themeFillTint="33"/>
    </w:tcPr>
    <w:tblStylePr w:type="firstRow">
      <w:rPr>
        <w:b/>
        <w:bCs/>
      </w:rPr>
      <w:tblPr/>
      <w:tcPr>
        <w:shd w:val="clear" w:color="auto" w:fill="E1C8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8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D" w:themeFill="accent5" w:themeFillTint="33"/>
    </w:tcPr>
    <w:tblStylePr w:type="firstRow">
      <w:rPr>
        <w:b/>
        <w:bCs/>
      </w:rPr>
      <w:tblPr/>
      <w:tcPr>
        <w:shd w:val="clear" w:color="auto" w:fill="C4D2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2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ED" w:themeFill="accent6" w:themeFillTint="33"/>
    </w:tcPr>
    <w:tblStylePr w:type="firstRow">
      <w:rPr>
        <w:b/>
        <w:bCs/>
      </w:rPr>
      <w:tblPr/>
      <w:tcPr>
        <w:shd w:val="clear" w:color="auto" w:fill="DEE1D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1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shd w:val="clear" w:color="auto" w:fill="AEE2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shd w:val="clear" w:color="auto" w:fill="F9E8D1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5A4D" w:themeFill="accent4" w:themeFillShade="CC"/>
      </w:tcPr>
    </w:tblStylePr>
    <w:tblStylePr w:type="lastRow">
      <w:rPr>
        <w:b/>
        <w:bCs/>
        <w:color w:val="985A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shd w:val="clear" w:color="auto" w:fill="F5F2F1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1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9A90" w:themeFill="accent3" w:themeFillShade="CC"/>
      </w:tcPr>
    </w:tblStylePr>
    <w:tblStylePr w:type="lastRow">
      <w:rPr>
        <w:b/>
        <w:bCs/>
        <w:color w:val="AB9A9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shd w:val="clear" w:color="auto" w:fill="F0E3E1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82" w:themeFill="accent6" w:themeFillShade="CC"/>
      </w:tcPr>
    </w:tblStylePr>
    <w:tblStylePr w:type="lastRow">
      <w:rPr>
        <w:b/>
        <w:bCs/>
        <w:color w:val="8996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shd w:val="clear" w:color="auto" w:fill="E1E8ED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388" w:themeFill="accent5" w:themeFillShade="CC"/>
      </w:tcPr>
    </w:tblStylePr>
    <w:tblStylePr w:type="lastRow">
      <w:rPr>
        <w:b/>
        <w:bCs/>
        <w:color w:val="5473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shd w:val="clear" w:color="auto" w:fill="EEF0ED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456B" w:themeColor="accent1"/>
        <w:bottom w:val="single" w:sz="4" w:space="0" w:color="00456B" w:themeColor="accent1"/>
        <w:right w:val="single" w:sz="4" w:space="0" w:color="00456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94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940" w:themeColor="accent1" w:themeShade="99"/>
          <w:insideV w:val="nil"/>
        </w:tcBorders>
        <w:shd w:val="clear" w:color="auto" w:fill="00294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40" w:themeFill="accent1" w:themeFillShade="99"/>
      </w:tcPr>
    </w:tblStylePr>
    <w:tblStylePr w:type="band1Vert">
      <w:tblPr/>
      <w:tcPr>
        <w:shd w:val="clear" w:color="auto" w:fill="5DC5FF" w:themeFill="accent1" w:themeFillTint="66"/>
      </w:tcPr>
    </w:tblStylePr>
    <w:tblStylePr w:type="band1Horz">
      <w:tblPr/>
      <w:tcPr>
        <w:shd w:val="clear" w:color="auto" w:fill="36B7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E58E1A" w:themeColor="accent2"/>
        <w:bottom w:val="single" w:sz="4" w:space="0" w:color="E58E1A" w:themeColor="accent2"/>
        <w:right w:val="single" w:sz="4" w:space="0" w:color="E58E1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4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40F" w:themeColor="accent2" w:themeShade="99"/>
          <w:insideV w:val="nil"/>
        </w:tcBorders>
        <w:shd w:val="clear" w:color="auto" w:fill="8954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40F" w:themeFill="accent2" w:themeFillShade="99"/>
      </w:tcPr>
    </w:tblStylePr>
    <w:tblStylePr w:type="band1Vert">
      <w:tblPr/>
      <w:tcPr>
        <w:shd w:val="clear" w:color="auto" w:fill="F4D1A3" w:themeFill="accent2" w:themeFillTint="66"/>
      </w:tcPr>
    </w:tblStylePr>
    <w:tblStylePr w:type="band1Horz">
      <w:tblPr/>
      <w:tcPr>
        <w:shd w:val="clear" w:color="auto" w:fill="F2C6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786C" w:themeColor="accent4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726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7266" w:themeColor="accent3" w:themeShade="99"/>
          <w:insideV w:val="nil"/>
        </w:tcBorders>
        <w:shd w:val="clear" w:color="auto" w:fill="86726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7266" w:themeFill="accent3" w:themeFillShade="99"/>
      </w:tcPr>
    </w:tblStylePr>
    <w:tblStylePr w:type="band1Vert">
      <w:tblPr/>
      <w:tcPr>
        <w:shd w:val="clear" w:color="auto" w:fill="EBE6E4" w:themeFill="accent3" w:themeFillTint="66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DC3BD" w:themeColor="accent3"/>
        <w:left w:val="single" w:sz="4" w:space="0" w:color="B4786C" w:themeColor="accent4"/>
        <w:bottom w:val="single" w:sz="4" w:space="0" w:color="B4786C" w:themeColor="accent4"/>
        <w:right w:val="single" w:sz="4" w:space="0" w:color="B4786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43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433A" w:themeColor="accent4" w:themeShade="99"/>
          <w:insideV w:val="nil"/>
        </w:tcBorders>
        <w:shd w:val="clear" w:color="auto" w:fill="7243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33A" w:themeFill="accent4" w:themeFillShade="99"/>
      </w:tcPr>
    </w:tblStylePr>
    <w:tblStylePr w:type="band1Vert">
      <w:tblPr/>
      <w:tcPr>
        <w:shd w:val="clear" w:color="auto" w:fill="E1C8C4" w:themeFill="accent4" w:themeFillTint="66"/>
      </w:tcPr>
    </w:tblStylePr>
    <w:tblStylePr w:type="band1Horz">
      <w:tblPr/>
      <w:tcPr>
        <w:shd w:val="clear" w:color="auto" w:fill="D9BBB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B6A8" w:themeColor="accent6"/>
        <w:left w:val="single" w:sz="4" w:space="0" w:color="6E90A6" w:themeColor="accent5"/>
        <w:bottom w:val="single" w:sz="4" w:space="0" w:color="6E90A6" w:themeColor="accent5"/>
        <w:right w:val="single" w:sz="4" w:space="0" w:color="6E90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66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666" w:themeColor="accent5" w:themeShade="99"/>
          <w:insideV w:val="nil"/>
        </w:tcBorders>
        <w:shd w:val="clear" w:color="auto" w:fill="3F566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666" w:themeFill="accent5" w:themeFillShade="99"/>
      </w:tcPr>
    </w:tblStylePr>
    <w:tblStylePr w:type="band1Vert">
      <w:tblPr/>
      <w:tcPr>
        <w:shd w:val="clear" w:color="auto" w:fill="C4D2DB" w:themeFill="accent5" w:themeFillTint="66"/>
      </w:tcPr>
    </w:tblStylePr>
    <w:tblStylePr w:type="band1Horz">
      <w:tblPr/>
      <w:tcPr>
        <w:shd w:val="clear" w:color="auto" w:fill="B6C7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E90A6" w:themeColor="accent5"/>
        <w:left w:val="single" w:sz="4" w:space="0" w:color="ADB6A8" w:themeColor="accent6"/>
        <w:bottom w:val="single" w:sz="4" w:space="0" w:color="ADB6A8" w:themeColor="accent6"/>
        <w:right w:val="single" w:sz="4" w:space="0" w:color="ADB6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2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260" w:themeColor="accent6" w:themeShade="99"/>
          <w:insideV w:val="nil"/>
        </w:tcBorders>
        <w:shd w:val="clear" w:color="auto" w:fill="6672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260" w:themeFill="accent6" w:themeFillShade="99"/>
      </w:tcPr>
    </w:tblStylePr>
    <w:tblStylePr w:type="band1Vert">
      <w:tblPr/>
      <w:tcPr>
        <w:shd w:val="clear" w:color="auto" w:fill="DEE1DC" w:themeFill="accent6" w:themeFillTint="66"/>
      </w:tcPr>
    </w:tblStylePr>
    <w:tblStylePr w:type="band1Horz">
      <w:tblPr/>
      <w:tcPr>
        <w:shd w:val="clear" w:color="auto" w:fill="D5DA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0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750"/>
    <w:rPr>
      <w:noProof w:val="0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56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23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35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8E1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6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69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DC3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5E5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F8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786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38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54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E90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8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C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B6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E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D7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F80750"/>
  </w:style>
  <w:style w:type="character" w:customStyle="1" w:styleId="DateChar">
    <w:name w:val="Date Char"/>
    <w:basedOn w:val="DefaultParagraphFont"/>
    <w:link w:val="Date"/>
    <w:uiPriority w:val="99"/>
    <w:semiHidden/>
    <w:rsid w:val="00F80750"/>
    <w:rPr>
      <w:noProof w:val="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noProof w:val="0"/>
      <w:sz w:val="16"/>
      <w:szCs w:val="16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  <w:rPr>
      <w:noProof w:val="0"/>
      <w:lang w:val="en-AU"/>
    </w:rPr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80750"/>
    <w:rPr>
      <w:noProof w:val="0"/>
      <w:sz w:val="20"/>
      <w:szCs w:val="20"/>
      <w:lang w:val="en-AU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00456B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0750"/>
    <w:rPr>
      <w:noProof w:val="0"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B41D8E"/>
    <w:rPr>
      <w:rFonts w:asciiTheme="majorHAnsi" w:eastAsiaTheme="majorEastAsia" w:hAnsiTheme="majorHAnsi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74D"/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7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  <w:noProof w:val="0"/>
      <w:lang w:val="en-AU"/>
    </w:rPr>
  </w:style>
  <w:style w:type="character" w:styleId="HTMLCite">
    <w:name w:val="HTML Cit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00456B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00456B" w:themeColor="accent1"/>
      </w:pBdr>
      <w:spacing w:before="200" w:after="280"/>
      <w:ind w:left="936" w:right="936"/>
    </w:pPr>
    <w:rPr>
      <w:b/>
      <w:bCs/>
      <w:i/>
      <w:iCs/>
      <w:color w:val="0045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00456B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E58E1A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1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  <w:shd w:val="clear" w:color="auto" w:fill="9BDBFF" w:themeFill="accent1" w:themeFillTint="3F"/>
      </w:tcPr>
    </w:tblStylePr>
    <w:tblStylePr w:type="band2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1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  <w:shd w:val="clear" w:color="auto" w:fill="F8E2C6" w:themeFill="accent2" w:themeFillTint="3F"/>
      </w:tcPr>
    </w:tblStylePr>
    <w:tblStylePr w:type="band2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1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  <w:shd w:val="clear" w:color="auto" w:fill="F2F0EE" w:themeFill="accent3" w:themeFillTint="3F"/>
      </w:tcPr>
    </w:tblStylePr>
    <w:tblStylePr w:type="band2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1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  <w:shd w:val="clear" w:color="auto" w:fill="ECDDDA" w:themeFill="accent4" w:themeFillTint="3F"/>
      </w:tcPr>
    </w:tblStylePr>
    <w:tblStylePr w:type="band2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1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  <w:shd w:val="clear" w:color="auto" w:fill="DBE3E9" w:themeFill="accent5" w:themeFillTint="3F"/>
      </w:tcPr>
    </w:tblStylePr>
    <w:tblStylePr w:type="band2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1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  <w:shd w:val="clear" w:color="auto" w:fill="EAEDE9" w:themeFill="accent6" w:themeFillTint="3F"/>
      </w:tcPr>
    </w:tblStylePr>
    <w:tblStylePr w:type="band2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003350" w:themeColor="accent1" w:themeShade="BF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AB6913" w:themeColor="accent2" w:themeShade="BF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A28F84" w:themeColor="accent3" w:themeShade="BF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8E5449" w:themeColor="accent4" w:themeShade="BF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4E6C80" w:themeColor="accent5" w:themeShade="BF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7F8D78" w:themeColor="accent6" w:themeShade="BF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unhideWhenUsed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  <w:insideV w:val="single" w:sz="8" w:space="0" w:color="0085D0" w:themeColor="accent1" w:themeTint="BF"/>
      </w:tblBorders>
    </w:tblPr>
    <w:tcPr>
      <w:shd w:val="clear" w:color="auto" w:fill="9B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5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  <w:insideV w:val="single" w:sz="8" w:space="0" w:color="EBA953" w:themeColor="accent2" w:themeTint="BF"/>
      </w:tblBorders>
    </w:tblPr>
    <w:tcPr>
      <w:shd w:val="clear" w:color="auto" w:fill="F8E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A9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  <w:insideV w:val="single" w:sz="8" w:space="0" w:color="D9D1CD" w:themeColor="accent3" w:themeTint="BF"/>
      </w:tblBorders>
    </w:tblPr>
    <w:tcPr>
      <w:shd w:val="clear" w:color="auto" w:fill="F2F0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D1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  <w:insideV w:val="single" w:sz="8" w:space="0" w:color="C69990" w:themeColor="accent4" w:themeTint="BF"/>
      </w:tblBorders>
    </w:tblPr>
    <w:tcPr>
      <w:shd w:val="clear" w:color="auto" w:fill="ECD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99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  <w:insideV w:val="single" w:sz="8" w:space="0" w:color="92ABBC" w:themeColor="accent5" w:themeTint="BF"/>
      </w:tblBorders>
    </w:tblPr>
    <w:tcPr>
      <w:shd w:val="clear" w:color="auto" w:fill="DBE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B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  <w:insideV w:val="single" w:sz="8" w:space="0" w:color="C1C8BD" w:themeColor="accent6" w:themeTint="BF"/>
      </w:tblBorders>
    </w:tblPr>
    <w:tcPr>
      <w:shd w:val="clear" w:color="auto" w:fill="EAE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C8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cPr>
      <w:shd w:val="clear" w:color="auto" w:fill="9B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E2FF" w:themeFill="accent1" w:themeFillTint="33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tcBorders>
          <w:insideH w:val="single" w:sz="6" w:space="0" w:color="00456B" w:themeColor="accent1"/>
          <w:insideV w:val="single" w:sz="6" w:space="0" w:color="00456B" w:themeColor="accent1"/>
        </w:tcBorders>
        <w:shd w:val="clear" w:color="auto" w:fill="36B7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cPr>
      <w:shd w:val="clear" w:color="auto" w:fill="F8E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1" w:themeFill="accent2" w:themeFillTint="33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tcBorders>
          <w:insideH w:val="single" w:sz="6" w:space="0" w:color="E58E1A" w:themeColor="accent2"/>
          <w:insideV w:val="single" w:sz="6" w:space="0" w:color="E58E1A" w:themeColor="accent2"/>
        </w:tcBorders>
        <w:shd w:val="clear" w:color="auto" w:fill="F2C6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cPr>
      <w:shd w:val="clear" w:color="auto" w:fill="F2F0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F1" w:themeFill="accent3" w:themeFillTint="33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tcBorders>
          <w:insideH w:val="single" w:sz="6" w:space="0" w:color="CDC3BD" w:themeColor="accent3"/>
          <w:insideV w:val="single" w:sz="6" w:space="0" w:color="CDC3BD" w:themeColor="accent3"/>
        </w:tcBorders>
        <w:shd w:val="clear" w:color="auto" w:fill="E6E0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cPr>
      <w:shd w:val="clear" w:color="auto" w:fill="ECD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3E1" w:themeFill="accent4" w:themeFillTint="33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tcBorders>
          <w:insideH w:val="single" w:sz="6" w:space="0" w:color="B4786C" w:themeColor="accent4"/>
          <w:insideV w:val="single" w:sz="6" w:space="0" w:color="B4786C" w:themeColor="accent4"/>
        </w:tcBorders>
        <w:shd w:val="clear" w:color="auto" w:fill="D9BB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cPr>
      <w:shd w:val="clear" w:color="auto" w:fill="DBE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D" w:themeFill="accent5" w:themeFillTint="33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tcBorders>
          <w:insideH w:val="single" w:sz="6" w:space="0" w:color="6E90A6" w:themeColor="accent5"/>
          <w:insideV w:val="single" w:sz="6" w:space="0" w:color="6E90A6" w:themeColor="accent5"/>
        </w:tcBorders>
        <w:shd w:val="clear" w:color="auto" w:fill="B6C7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cPr>
      <w:shd w:val="clear" w:color="auto" w:fill="EAED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ED" w:themeFill="accent6" w:themeFillTint="33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tcBorders>
          <w:insideH w:val="single" w:sz="6" w:space="0" w:color="ADB6A8" w:themeColor="accent6"/>
          <w:insideV w:val="single" w:sz="6" w:space="0" w:color="ADB6A8" w:themeColor="accent6"/>
        </w:tcBorders>
        <w:shd w:val="clear" w:color="auto" w:fill="D5DA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B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6B7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6B7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6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68C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E0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E0DE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BB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BB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7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7D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A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AD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56B" w:themeColor="accen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shd w:val="clear" w:color="auto" w:fill="9BDB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8E1A" w:themeColor="accent2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shd w:val="clear" w:color="auto" w:fill="F8E2C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C3BD" w:themeColor="accent3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shd w:val="clear" w:color="auto" w:fill="F2F0EE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786C" w:themeColor="accent4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shd w:val="clear" w:color="auto" w:fill="ECDDDA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90A6" w:themeColor="accent5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shd w:val="clear" w:color="auto" w:fill="DBE3E9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B6A8" w:themeColor="accent6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shd w:val="clear" w:color="auto" w:fill="EAEDE9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56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56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56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56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B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8E1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8E1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8E1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DC3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C3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C3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786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786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786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90A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90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90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B6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B6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B6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B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AU"/>
    </w:rPr>
  </w:style>
  <w:style w:type="paragraph" w:styleId="NoSpacing">
    <w:name w:val="No Spacing"/>
    <w:uiPriority w:val="1"/>
    <w:semiHidden/>
    <w:unhideWhenUsed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  <w:rPr>
      <w:noProof w:val="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noProof w:val="0"/>
      <w:sz w:val="21"/>
      <w:szCs w:val="21"/>
      <w:lang w:val="en-AU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  <w:rPr>
      <w:noProof w:val="0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  <w:rPr>
      <w:noProof w:val="0"/>
      <w:lang w:val="en-AU"/>
    </w:rPr>
  </w:style>
  <w:style w:type="character" w:styleId="Strong">
    <w:name w:val="Strong"/>
    <w:basedOn w:val="DefaultParagraphFont"/>
    <w:uiPriority w:val="17"/>
    <w:qFormat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9"/>
    <w:semiHidden/>
    <w:unhideWhenUsed/>
    <w:qFormat/>
    <w:locked/>
    <w:rsid w:val="00F80750"/>
    <w:pPr>
      <w:numPr>
        <w:ilvl w:val="1"/>
      </w:numPr>
    </w:pPr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83512"/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E58E1A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8637EC"/>
    <w:pPr>
      <w:tabs>
        <w:tab w:val="left" w:pos="635"/>
        <w:tab w:val="left" w:pos="1140"/>
        <w:tab w:val="right" w:leader="dot" w:pos="10546"/>
      </w:tabs>
      <w:spacing w:after="100"/>
      <w:ind w:left="442"/>
      <w:contextualSpacing/>
    </w:pPr>
  </w:style>
  <w:style w:type="paragraph" w:styleId="TOC3">
    <w:name w:val="toc 3"/>
    <w:basedOn w:val="Normal"/>
    <w:next w:val="Normal"/>
    <w:autoRedefine/>
    <w:uiPriority w:val="39"/>
    <w:rsid w:val="008637EC"/>
    <w:pPr>
      <w:tabs>
        <w:tab w:val="left" w:pos="1644"/>
        <w:tab w:val="left" w:pos="2030"/>
        <w:tab w:val="right" w:leader="dot" w:pos="10546"/>
      </w:tabs>
      <w:spacing w:after="100"/>
      <w:ind w:left="11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F80750"/>
    <w:pPr>
      <w:spacing w:after="100"/>
      <w:ind w:left="1520"/>
    </w:pPr>
  </w:style>
  <w:style w:type="paragraph" w:customStyle="1" w:styleId="AppendixHeading">
    <w:name w:val="Appendix Heading"/>
    <w:basedOn w:val="Heading1"/>
    <w:next w:val="Normal"/>
    <w:uiPriority w:val="11"/>
    <w:qFormat/>
    <w:rsid w:val="00034A19"/>
    <w:pPr>
      <w:numPr>
        <w:ilvl w:val="5"/>
      </w:numPr>
    </w:pPr>
  </w:style>
  <w:style w:type="paragraph" w:customStyle="1" w:styleId="Notes">
    <w:name w:val="Notes"/>
    <w:basedOn w:val="Normal"/>
    <w:semiHidden/>
    <w:qFormat/>
    <w:locked/>
    <w:rsid w:val="00503A51"/>
    <w:pPr>
      <w:numPr>
        <w:ilvl w:val="4"/>
        <w:numId w:val="25"/>
      </w:numPr>
      <w:spacing w:after="240"/>
      <w:jc w:val="both"/>
    </w:pPr>
    <w:rPr>
      <w:sz w:val="20"/>
    </w:rPr>
  </w:style>
  <w:style w:type="numbering" w:customStyle="1" w:styleId="GeneralList">
    <w:name w:val="General List"/>
    <w:uiPriority w:val="99"/>
    <w:locked/>
    <w:rsid w:val="00503A51"/>
    <w:pPr>
      <w:numPr>
        <w:numId w:val="23"/>
      </w:numPr>
    </w:pPr>
  </w:style>
  <w:style w:type="numbering" w:customStyle="1" w:styleId="CustomHeadingList">
    <w:name w:val="Custom Heading List"/>
    <w:uiPriority w:val="99"/>
    <w:rsid w:val="003A3021"/>
    <w:pPr>
      <w:numPr>
        <w:numId w:val="26"/>
      </w:numPr>
    </w:pPr>
  </w:style>
  <w:style w:type="paragraph" w:customStyle="1" w:styleId="Introduction">
    <w:name w:val="Introduction"/>
    <w:basedOn w:val="Normal"/>
    <w:uiPriority w:val="10"/>
    <w:qFormat/>
    <w:rsid w:val="00012728"/>
    <w:rPr>
      <w:sz w:val="28"/>
    </w:rPr>
  </w:style>
  <w:style w:type="paragraph" w:customStyle="1" w:styleId="CoverReportNumber">
    <w:name w:val="Cover Report Number"/>
    <w:basedOn w:val="Normal"/>
    <w:uiPriority w:val="19"/>
    <w:qFormat/>
    <w:rsid w:val="00755163"/>
    <w:pPr>
      <w:spacing w:after="0"/>
    </w:pPr>
  </w:style>
  <w:style w:type="paragraph" w:customStyle="1" w:styleId="CoverVersionDate">
    <w:name w:val="Cover Version / Date"/>
    <w:basedOn w:val="CoverReportNumber"/>
    <w:uiPriority w:val="19"/>
    <w:qFormat/>
    <w:rsid w:val="00755163"/>
  </w:style>
  <w:style w:type="table" w:customStyle="1" w:styleId="CustomTable">
    <w:name w:val="Custom Table"/>
    <w:basedOn w:val="TableGrid"/>
    <w:uiPriority w:val="99"/>
    <w:rsid w:val="00DC5900"/>
    <w:tblPr>
      <w:tblStyleRowBandSize w:val="1"/>
      <w:tblStyleColBandSize w:val="1"/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  <w:tblStylePr w:type="lastRow">
      <w:rPr>
        <w:b/>
      </w:rPr>
    </w:tblStylePr>
    <w:tblStylePr w:type="firstCol">
      <w:rPr>
        <w:b/>
        <w:color w:val="FFFFFF" w:themeColor="background1"/>
      </w:rPr>
      <w:tblPr/>
      <w:tcPr>
        <w:shd w:val="clear" w:color="auto" w:fill="6E90A6" w:themeFill="accent5"/>
      </w:tcPr>
    </w:tblStylePr>
    <w:tblStylePr w:type="lastCol">
      <w:pPr>
        <w:jc w:val="right"/>
      </w:pPr>
    </w:tblStylePr>
    <w:tblStylePr w:type="band2Vert">
      <w:tblPr/>
      <w:tcPr>
        <w:shd w:val="clear" w:color="auto" w:fill="F5F2F1" w:themeFill="accent3" w:themeFillTint="33"/>
      </w:tcPr>
    </w:tblStylePr>
    <w:tblStylePr w:type="band2Horz">
      <w:tblPr/>
      <w:tcPr>
        <w:shd w:val="clear" w:color="auto" w:fill="E1E8ED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locked="0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 w:semiHidden="0"/>
    <w:lsdException w:name="header" w:locked="0" w:semiHidden="0"/>
    <w:lsdException w:name="footer" w:locked="0" w:semiHidden="0"/>
    <w:lsdException w:name="caption" w:semiHidden="0" w:uiPriority="35" w:qFormat="1"/>
    <w:lsdException w:name="footnote reference" w:locked="0" w:semiHidden="0"/>
    <w:lsdException w:name="endnote reference" w:locked="0" w:semiHidden="0"/>
    <w:lsdException w:name="endnote text" w:locked="0" w:semiHidden="0"/>
    <w:lsdException w:name="List Bullet" w:semiHidden="0" w:qFormat="1"/>
    <w:lsdException w:name="List Number" w:semiHidden="0" w:unhideWhenUsed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Title" w:semiHidden="0" w:uiPriority="10" w:unhideWhenUsed="0" w:qFormat="1"/>
    <w:lsdException w:name="Default Paragraph Font" w:locked="0" w:uiPriority="1"/>
    <w:lsdException w:name="Subtitle" w:uiPriority="11" w:qFormat="1"/>
    <w:lsdException w:name="Hyperlink" w:locked="0"/>
    <w:lsdException w:name="FollowedHyperlink" w:locked="0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DC5900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12728"/>
    <w:pPr>
      <w:keepNext/>
      <w:keepLines/>
      <w:numPr>
        <w:numId w:val="31"/>
      </w:numPr>
      <w:spacing w:before="240"/>
      <w:outlineLvl w:val="0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728"/>
    <w:pPr>
      <w:keepNext/>
      <w:keepLines/>
      <w:numPr>
        <w:ilvl w:val="1"/>
        <w:numId w:val="31"/>
      </w:numPr>
      <w:spacing w:before="24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12728"/>
    <w:pPr>
      <w:keepNext/>
      <w:keepLines/>
      <w:numPr>
        <w:ilvl w:val="2"/>
        <w:numId w:val="31"/>
      </w:numPr>
      <w:spacing w:before="240"/>
      <w:outlineLvl w:val="2"/>
    </w:pPr>
    <w:rPr>
      <w:rFonts w:asciiTheme="majorHAnsi" w:eastAsiaTheme="majorEastAsia" w:hAnsiTheme="majorHAnsi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31E"/>
    <w:pPr>
      <w:keepNext/>
      <w:keepLines/>
      <w:numPr>
        <w:ilvl w:val="3"/>
        <w:numId w:val="31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1D8E"/>
    <w:pPr>
      <w:keepNext/>
      <w:keepLines/>
      <w:numPr>
        <w:ilvl w:val="4"/>
        <w:numId w:val="31"/>
      </w:numPr>
      <w:spacing w:before="240"/>
      <w:outlineLvl w:val="4"/>
    </w:pPr>
    <w:rPr>
      <w:rFonts w:asciiTheme="majorHAnsi" w:eastAsiaTheme="majorEastAsia" w:hAnsiTheme="majorHAnsi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F807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F807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F807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F807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28"/>
    <w:rPr>
      <w:rFonts w:asciiTheme="majorHAnsi" w:eastAsiaTheme="majorEastAsia" w:hAnsiTheme="majorHAnsi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2728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2728"/>
    <w:rPr>
      <w:rFonts w:asciiTheme="majorHAnsi" w:eastAsiaTheme="majorEastAsia" w:hAnsiTheme="majorHAnsi" w:cstheme="majorBidi"/>
      <w:bCs/>
      <w:sz w:val="26"/>
    </w:rPr>
  </w:style>
  <w:style w:type="paragraph" w:customStyle="1" w:styleId="CoverSubtitle">
    <w:name w:val="Cover Subtitle"/>
    <w:basedOn w:val="Normal"/>
    <w:next w:val="CoverIntroductionText"/>
    <w:uiPriority w:val="20"/>
    <w:qFormat/>
    <w:rsid w:val="009417AE"/>
    <w:pPr>
      <w:spacing w:after="0"/>
    </w:pPr>
    <w:rPr>
      <w:rFonts w:asciiTheme="majorHAnsi" w:hAnsiTheme="majorHAnsi"/>
      <w:sz w:val="36"/>
    </w:rPr>
  </w:style>
  <w:style w:type="paragraph" w:customStyle="1" w:styleId="BodyBullet1">
    <w:name w:val="Body Bullet 1"/>
    <w:basedOn w:val="Normal"/>
    <w:semiHidden/>
    <w:qFormat/>
    <w:locked/>
    <w:rsid w:val="008A72D2"/>
    <w:pPr>
      <w:numPr>
        <w:numId w:val="1"/>
      </w:numPr>
      <w:spacing w:line="240" w:lineRule="atLeast"/>
      <w:ind w:left="714" w:hanging="357"/>
      <w:contextualSpacing/>
    </w:pPr>
  </w:style>
  <w:style w:type="paragraph" w:customStyle="1" w:styleId="BodyBullet2">
    <w:name w:val="Body Bullet 2"/>
    <w:basedOn w:val="BodyBullet1"/>
    <w:semiHidden/>
    <w:qFormat/>
    <w:locked/>
    <w:rsid w:val="008A72D2"/>
    <w:pPr>
      <w:numPr>
        <w:numId w:val="2"/>
      </w:numPr>
      <w:ind w:hanging="357"/>
    </w:pPr>
  </w:style>
  <w:style w:type="paragraph" w:customStyle="1" w:styleId="CoverIntroductionText">
    <w:name w:val="Cover Introduction Text"/>
    <w:basedOn w:val="Normal"/>
    <w:uiPriority w:val="20"/>
    <w:rsid w:val="003E6BF6"/>
    <w:pPr>
      <w:spacing w:after="113"/>
    </w:pPr>
    <w:rPr>
      <w:color w:val="000000" w:themeColor="text1"/>
      <w:spacing w:val="-2"/>
    </w:rPr>
  </w:style>
  <w:style w:type="character" w:customStyle="1" w:styleId="Heading4Char">
    <w:name w:val="Heading 4 Char"/>
    <w:basedOn w:val="DefaultParagraphFont"/>
    <w:link w:val="Heading4"/>
    <w:uiPriority w:val="9"/>
    <w:rsid w:val="0089031E"/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ListBullet">
    <w:name w:val="List Bullet"/>
    <w:basedOn w:val="Normal"/>
    <w:uiPriority w:val="16"/>
    <w:qFormat/>
    <w:rsid w:val="00503A51"/>
    <w:pPr>
      <w:numPr>
        <w:numId w:val="25"/>
      </w:numPr>
    </w:pPr>
  </w:style>
  <w:style w:type="paragraph" w:styleId="ListBullet2">
    <w:name w:val="List Bullet 2"/>
    <w:basedOn w:val="ListBullet"/>
    <w:uiPriority w:val="16"/>
    <w:qFormat/>
    <w:rsid w:val="00503A51"/>
    <w:pPr>
      <w:numPr>
        <w:ilvl w:val="1"/>
      </w:numPr>
    </w:pPr>
    <w:rPr>
      <w:color w:val="000000" w:themeColor="text1"/>
    </w:rPr>
  </w:style>
  <w:style w:type="paragraph" w:styleId="ListNumber">
    <w:name w:val="List Number"/>
    <w:basedOn w:val="Normal"/>
    <w:uiPriority w:val="16"/>
    <w:qFormat/>
    <w:rsid w:val="00E84A6B"/>
    <w:pPr>
      <w:numPr>
        <w:ilvl w:val="6"/>
        <w:numId w:val="31"/>
      </w:numPr>
    </w:pPr>
  </w:style>
  <w:style w:type="paragraph" w:styleId="ListNumber2">
    <w:name w:val="List Number 2"/>
    <w:basedOn w:val="Normal"/>
    <w:uiPriority w:val="16"/>
    <w:qFormat/>
    <w:rsid w:val="00E84A6B"/>
    <w:pPr>
      <w:numPr>
        <w:ilvl w:val="7"/>
        <w:numId w:val="31"/>
      </w:numPr>
    </w:pPr>
  </w:style>
  <w:style w:type="numbering" w:customStyle="1" w:styleId="Lists">
    <w:name w:val="Lists"/>
    <w:uiPriority w:val="99"/>
    <w:rsid w:val="00CB4238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EA48AE"/>
    <w:pPr>
      <w:numPr>
        <w:ilvl w:val="8"/>
        <w:numId w:val="31"/>
      </w:numPr>
    </w:pPr>
  </w:style>
  <w:style w:type="paragraph" w:styleId="Title">
    <w:name w:val="Title"/>
    <w:basedOn w:val="Normal"/>
    <w:next w:val="CoverSubtitle"/>
    <w:link w:val="TitleChar"/>
    <w:uiPriority w:val="18"/>
    <w:qFormat/>
    <w:rsid w:val="00AC286B"/>
    <w:pPr>
      <w:spacing w:before="240" w:after="240"/>
    </w:pPr>
    <w:rPr>
      <w:rFonts w:asciiTheme="majorHAnsi" w:eastAsiaTheme="majorEastAsia" w:hAnsiTheme="majorHAnsi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8"/>
    <w:rsid w:val="00DC5900"/>
    <w:rPr>
      <w:rFonts w:asciiTheme="majorHAnsi" w:eastAsiaTheme="majorEastAsia" w:hAnsiTheme="majorHAnsi" w:cstheme="majorBidi"/>
      <w:b/>
      <w:sz w:val="40"/>
      <w:szCs w:val="52"/>
    </w:rPr>
  </w:style>
  <w:style w:type="numbering" w:customStyle="1" w:styleId="MultiLevelheadinglist">
    <w:name w:val="Multi Level heading list"/>
    <w:uiPriority w:val="99"/>
    <w:rsid w:val="00D461C2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rsid w:val="009417AE"/>
    <w:pPr>
      <w:tabs>
        <w:tab w:val="left" w:pos="440"/>
        <w:tab w:val="right" w:leader="dot" w:pos="10546"/>
      </w:tabs>
      <w:spacing w:before="57" w:after="57"/>
      <w:contextualSpacing/>
    </w:pPr>
    <w:rPr>
      <w:sz w:val="26"/>
    </w:rPr>
  </w:style>
  <w:style w:type="paragraph" w:styleId="TOCHeading">
    <w:name w:val="TOC Heading"/>
    <w:basedOn w:val="Heading1"/>
    <w:next w:val="Normal"/>
    <w:uiPriority w:val="39"/>
    <w:qFormat/>
    <w:rsid w:val="003E6BF6"/>
    <w:pPr>
      <w:numPr>
        <w:numId w:val="0"/>
      </w:numPr>
      <w:outlineLvl w:val="9"/>
    </w:pPr>
  </w:style>
  <w:style w:type="paragraph" w:styleId="Footer">
    <w:name w:val="footer"/>
    <w:basedOn w:val="Normal"/>
    <w:link w:val="FooterChar"/>
    <w:uiPriority w:val="99"/>
    <w:rsid w:val="0069407C"/>
    <w:pPr>
      <w:tabs>
        <w:tab w:val="center" w:pos="4513"/>
        <w:tab w:val="right" w:pos="9026"/>
      </w:tabs>
      <w:spacing w:line="200" w:lineRule="exact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9407C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qFormat/>
    <w:rsid w:val="00503A51"/>
    <w:pPr>
      <w:numPr>
        <w:ilvl w:val="2"/>
        <w:numId w:val="25"/>
      </w:numPr>
      <w:contextualSpacing/>
    </w:pPr>
  </w:style>
  <w:style w:type="paragraph" w:styleId="ListBullet4">
    <w:name w:val="List Bullet 4"/>
    <w:basedOn w:val="Normal"/>
    <w:uiPriority w:val="16"/>
    <w:qFormat/>
    <w:rsid w:val="00503A51"/>
    <w:pPr>
      <w:numPr>
        <w:ilvl w:val="3"/>
        <w:numId w:val="25"/>
      </w:numPr>
      <w:contextualSpacing/>
    </w:pPr>
  </w:style>
  <w:style w:type="table" w:styleId="TableGrid">
    <w:name w:val="Table Grid"/>
    <w:basedOn w:val="TableNormal"/>
    <w:uiPriority w:val="59"/>
    <w:rsid w:val="00DC5900"/>
    <w:pPr>
      <w:spacing w:before="57" w:after="57"/>
      <w:ind w:left="108" w:right="108"/>
    </w:pPr>
    <w:tblPr>
      <w:tblBorders>
        <w:top w:val="single" w:sz="4" w:space="0" w:color="CDC3BD" w:themeColor="accent3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CDC3BD" w:themeColor="accent3"/>
        <w:insideV w:val="single" w:sz="4" w:space="0" w:color="CDC3BD" w:themeColor="accent3"/>
      </w:tblBorders>
      <w:tblCellMar>
        <w:left w:w="0" w:type="dxa"/>
        <w:right w:w="0" w:type="dxa"/>
      </w:tblCellMar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</w:style>
  <w:style w:type="paragraph" w:styleId="Caption">
    <w:name w:val="caption"/>
    <w:basedOn w:val="Normal"/>
    <w:next w:val="Normal"/>
    <w:uiPriority w:val="35"/>
    <w:qFormat/>
    <w:rsid w:val="003E6BF6"/>
    <w:pPr>
      <w:spacing w:after="34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rsid w:val="00755163"/>
    <w:pPr>
      <w:tabs>
        <w:tab w:val="center" w:pos="4513"/>
        <w:tab w:val="right" w:pos="9026"/>
      </w:tabs>
      <w:spacing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55163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noProof w:val="0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unhideWhenUsed/>
    <w:rsid w:val="00764992"/>
    <w:rPr>
      <w:noProof w:val="0"/>
      <w:color w:val="808080"/>
      <w:sz w:val="16"/>
      <w:lang w:val="en-AU"/>
    </w:rPr>
  </w:style>
  <w:style w:type="paragraph" w:styleId="ListNumber4">
    <w:name w:val="List Number 4"/>
    <w:basedOn w:val="Normal"/>
    <w:uiPriority w:val="16"/>
    <w:semiHidden/>
    <w:qFormat/>
    <w:locked/>
    <w:rsid w:val="00DA4C48"/>
    <w:p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E58E1A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00456B" w:themeColor="accent1"/>
        <w:left w:val="single" w:sz="2" w:space="10" w:color="00456B" w:themeColor="accent1"/>
        <w:bottom w:val="single" w:sz="2" w:space="10" w:color="00456B" w:themeColor="accent1"/>
        <w:right w:val="single" w:sz="2" w:space="10" w:color="00456B" w:themeColor="accent1"/>
      </w:pBdr>
      <w:ind w:left="1152" w:right="1152"/>
    </w:pPr>
    <w:rPr>
      <w:rFonts w:asciiTheme="minorHAnsi" w:eastAsiaTheme="minorEastAsia" w:hAnsiTheme="minorHAnsi"/>
      <w:i/>
      <w:iCs/>
      <w:color w:val="00456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F80750"/>
    <w:rPr>
      <w:noProof w:val="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  <w:rPr>
      <w:noProof w:val="0"/>
      <w:lang w:val="en-AU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noProof w:val="0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  <w:rPr>
      <w:noProof w:val="0"/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  <w:rPr>
      <w:noProof w:val="0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noProof w:val="0"/>
      <w:sz w:val="16"/>
      <w:szCs w:val="16"/>
      <w:lang w:val="en-AU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  <w:rPr>
      <w:noProof w:val="0"/>
      <w:lang w:val="en-AU"/>
    </w:rPr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EE2FF" w:themeFill="accent1" w:themeFillTint="33"/>
    </w:tcPr>
    <w:tblStylePr w:type="firstRow">
      <w:rPr>
        <w:b/>
        <w:bCs/>
      </w:rPr>
      <w:tblPr/>
      <w:tcPr>
        <w:shd w:val="clear" w:color="auto" w:fill="5DC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C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1" w:themeFill="accent2" w:themeFillTint="33"/>
    </w:tcPr>
    <w:tblStylePr w:type="firstRow">
      <w:rPr>
        <w:b/>
        <w:bCs/>
      </w:rPr>
      <w:tblPr/>
      <w:tcPr>
        <w:shd w:val="clear" w:color="auto" w:fill="F4D1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1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2F1" w:themeFill="accent3" w:themeFillTint="33"/>
    </w:tcPr>
    <w:tblStylePr w:type="firstRow">
      <w:rPr>
        <w:b/>
        <w:bCs/>
      </w:rPr>
      <w:tblPr/>
      <w:tcPr>
        <w:shd w:val="clear" w:color="auto" w:fill="EBE6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E6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3E1" w:themeFill="accent4" w:themeFillTint="33"/>
    </w:tcPr>
    <w:tblStylePr w:type="firstRow">
      <w:rPr>
        <w:b/>
        <w:bCs/>
      </w:rPr>
      <w:tblPr/>
      <w:tcPr>
        <w:shd w:val="clear" w:color="auto" w:fill="E1C8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8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D" w:themeFill="accent5" w:themeFillTint="33"/>
    </w:tcPr>
    <w:tblStylePr w:type="firstRow">
      <w:rPr>
        <w:b/>
        <w:bCs/>
      </w:rPr>
      <w:tblPr/>
      <w:tcPr>
        <w:shd w:val="clear" w:color="auto" w:fill="C4D2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2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ED" w:themeFill="accent6" w:themeFillTint="33"/>
    </w:tcPr>
    <w:tblStylePr w:type="firstRow">
      <w:rPr>
        <w:b/>
        <w:bCs/>
      </w:rPr>
      <w:tblPr/>
      <w:tcPr>
        <w:shd w:val="clear" w:color="auto" w:fill="DEE1D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1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shd w:val="clear" w:color="auto" w:fill="AEE2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shd w:val="clear" w:color="auto" w:fill="F9E8D1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5A4D" w:themeFill="accent4" w:themeFillShade="CC"/>
      </w:tcPr>
    </w:tblStylePr>
    <w:tblStylePr w:type="lastRow">
      <w:rPr>
        <w:b/>
        <w:bCs/>
        <w:color w:val="985A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shd w:val="clear" w:color="auto" w:fill="F5F2F1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1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9A90" w:themeFill="accent3" w:themeFillShade="CC"/>
      </w:tcPr>
    </w:tblStylePr>
    <w:tblStylePr w:type="lastRow">
      <w:rPr>
        <w:b/>
        <w:bCs/>
        <w:color w:val="AB9A9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shd w:val="clear" w:color="auto" w:fill="F0E3E1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82" w:themeFill="accent6" w:themeFillShade="CC"/>
      </w:tcPr>
    </w:tblStylePr>
    <w:tblStylePr w:type="lastRow">
      <w:rPr>
        <w:b/>
        <w:bCs/>
        <w:color w:val="8996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shd w:val="clear" w:color="auto" w:fill="E1E8ED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388" w:themeFill="accent5" w:themeFillShade="CC"/>
      </w:tcPr>
    </w:tblStylePr>
    <w:tblStylePr w:type="lastRow">
      <w:rPr>
        <w:b/>
        <w:bCs/>
        <w:color w:val="5473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shd w:val="clear" w:color="auto" w:fill="EEF0ED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456B" w:themeColor="accent1"/>
        <w:bottom w:val="single" w:sz="4" w:space="0" w:color="00456B" w:themeColor="accent1"/>
        <w:right w:val="single" w:sz="4" w:space="0" w:color="00456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94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940" w:themeColor="accent1" w:themeShade="99"/>
          <w:insideV w:val="nil"/>
        </w:tcBorders>
        <w:shd w:val="clear" w:color="auto" w:fill="00294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40" w:themeFill="accent1" w:themeFillShade="99"/>
      </w:tcPr>
    </w:tblStylePr>
    <w:tblStylePr w:type="band1Vert">
      <w:tblPr/>
      <w:tcPr>
        <w:shd w:val="clear" w:color="auto" w:fill="5DC5FF" w:themeFill="accent1" w:themeFillTint="66"/>
      </w:tcPr>
    </w:tblStylePr>
    <w:tblStylePr w:type="band1Horz">
      <w:tblPr/>
      <w:tcPr>
        <w:shd w:val="clear" w:color="auto" w:fill="36B7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E58E1A" w:themeColor="accent2"/>
        <w:bottom w:val="single" w:sz="4" w:space="0" w:color="E58E1A" w:themeColor="accent2"/>
        <w:right w:val="single" w:sz="4" w:space="0" w:color="E58E1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4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40F" w:themeColor="accent2" w:themeShade="99"/>
          <w:insideV w:val="nil"/>
        </w:tcBorders>
        <w:shd w:val="clear" w:color="auto" w:fill="8954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40F" w:themeFill="accent2" w:themeFillShade="99"/>
      </w:tcPr>
    </w:tblStylePr>
    <w:tblStylePr w:type="band1Vert">
      <w:tblPr/>
      <w:tcPr>
        <w:shd w:val="clear" w:color="auto" w:fill="F4D1A3" w:themeFill="accent2" w:themeFillTint="66"/>
      </w:tcPr>
    </w:tblStylePr>
    <w:tblStylePr w:type="band1Horz">
      <w:tblPr/>
      <w:tcPr>
        <w:shd w:val="clear" w:color="auto" w:fill="F2C6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786C" w:themeColor="accent4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726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7266" w:themeColor="accent3" w:themeShade="99"/>
          <w:insideV w:val="nil"/>
        </w:tcBorders>
        <w:shd w:val="clear" w:color="auto" w:fill="86726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7266" w:themeFill="accent3" w:themeFillShade="99"/>
      </w:tcPr>
    </w:tblStylePr>
    <w:tblStylePr w:type="band1Vert">
      <w:tblPr/>
      <w:tcPr>
        <w:shd w:val="clear" w:color="auto" w:fill="EBE6E4" w:themeFill="accent3" w:themeFillTint="66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DC3BD" w:themeColor="accent3"/>
        <w:left w:val="single" w:sz="4" w:space="0" w:color="B4786C" w:themeColor="accent4"/>
        <w:bottom w:val="single" w:sz="4" w:space="0" w:color="B4786C" w:themeColor="accent4"/>
        <w:right w:val="single" w:sz="4" w:space="0" w:color="B4786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43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433A" w:themeColor="accent4" w:themeShade="99"/>
          <w:insideV w:val="nil"/>
        </w:tcBorders>
        <w:shd w:val="clear" w:color="auto" w:fill="7243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33A" w:themeFill="accent4" w:themeFillShade="99"/>
      </w:tcPr>
    </w:tblStylePr>
    <w:tblStylePr w:type="band1Vert">
      <w:tblPr/>
      <w:tcPr>
        <w:shd w:val="clear" w:color="auto" w:fill="E1C8C4" w:themeFill="accent4" w:themeFillTint="66"/>
      </w:tcPr>
    </w:tblStylePr>
    <w:tblStylePr w:type="band1Horz">
      <w:tblPr/>
      <w:tcPr>
        <w:shd w:val="clear" w:color="auto" w:fill="D9BBB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B6A8" w:themeColor="accent6"/>
        <w:left w:val="single" w:sz="4" w:space="0" w:color="6E90A6" w:themeColor="accent5"/>
        <w:bottom w:val="single" w:sz="4" w:space="0" w:color="6E90A6" w:themeColor="accent5"/>
        <w:right w:val="single" w:sz="4" w:space="0" w:color="6E90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66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666" w:themeColor="accent5" w:themeShade="99"/>
          <w:insideV w:val="nil"/>
        </w:tcBorders>
        <w:shd w:val="clear" w:color="auto" w:fill="3F566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666" w:themeFill="accent5" w:themeFillShade="99"/>
      </w:tcPr>
    </w:tblStylePr>
    <w:tblStylePr w:type="band1Vert">
      <w:tblPr/>
      <w:tcPr>
        <w:shd w:val="clear" w:color="auto" w:fill="C4D2DB" w:themeFill="accent5" w:themeFillTint="66"/>
      </w:tcPr>
    </w:tblStylePr>
    <w:tblStylePr w:type="band1Horz">
      <w:tblPr/>
      <w:tcPr>
        <w:shd w:val="clear" w:color="auto" w:fill="B6C7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E90A6" w:themeColor="accent5"/>
        <w:left w:val="single" w:sz="4" w:space="0" w:color="ADB6A8" w:themeColor="accent6"/>
        <w:bottom w:val="single" w:sz="4" w:space="0" w:color="ADB6A8" w:themeColor="accent6"/>
        <w:right w:val="single" w:sz="4" w:space="0" w:color="ADB6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2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260" w:themeColor="accent6" w:themeShade="99"/>
          <w:insideV w:val="nil"/>
        </w:tcBorders>
        <w:shd w:val="clear" w:color="auto" w:fill="6672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260" w:themeFill="accent6" w:themeFillShade="99"/>
      </w:tcPr>
    </w:tblStylePr>
    <w:tblStylePr w:type="band1Vert">
      <w:tblPr/>
      <w:tcPr>
        <w:shd w:val="clear" w:color="auto" w:fill="DEE1DC" w:themeFill="accent6" w:themeFillTint="66"/>
      </w:tcPr>
    </w:tblStylePr>
    <w:tblStylePr w:type="band1Horz">
      <w:tblPr/>
      <w:tcPr>
        <w:shd w:val="clear" w:color="auto" w:fill="D5DA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0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750"/>
    <w:rPr>
      <w:noProof w:val="0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56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23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35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8E1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6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69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DC3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5E5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F8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786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38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54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E90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8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C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B6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E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D7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F80750"/>
  </w:style>
  <w:style w:type="character" w:customStyle="1" w:styleId="DateChar">
    <w:name w:val="Date Char"/>
    <w:basedOn w:val="DefaultParagraphFont"/>
    <w:link w:val="Date"/>
    <w:uiPriority w:val="99"/>
    <w:semiHidden/>
    <w:rsid w:val="00F80750"/>
    <w:rPr>
      <w:noProof w:val="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noProof w:val="0"/>
      <w:sz w:val="16"/>
      <w:szCs w:val="16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  <w:rPr>
      <w:noProof w:val="0"/>
      <w:lang w:val="en-AU"/>
    </w:rPr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80750"/>
    <w:rPr>
      <w:noProof w:val="0"/>
      <w:sz w:val="20"/>
      <w:szCs w:val="20"/>
      <w:lang w:val="en-AU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00456B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0750"/>
    <w:rPr>
      <w:noProof w:val="0"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B41D8E"/>
    <w:rPr>
      <w:rFonts w:asciiTheme="majorHAnsi" w:eastAsiaTheme="majorEastAsia" w:hAnsiTheme="majorHAnsi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74D"/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7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  <w:noProof w:val="0"/>
      <w:lang w:val="en-AU"/>
    </w:rPr>
  </w:style>
  <w:style w:type="character" w:styleId="HTMLCite">
    <w:name w:val="HTML Cit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00456B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00456B" w:themeColor="accent1"/>
      </w:pBdr>
      <w:spacing w:before="200" w:after="280"/>
      <w:ind w:left="936" w:right="936"/>
    </w:pPr>
    <w:rPr>
      <w:b/>
      <w:bCs/>
      <w:i/>
      <w:iCs/>
      <w:color w:val="0045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00456B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E58E1A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1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  <w:shd w:val="clear" w:color="auto" w:fill="9BDBFF" w:themeFill="accent1" w:themeFillTint="3F"/>
      </w:tcPr>
    </w:tblStylePr>
    <w:tblStylePr w:type="band2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1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  <w:shd w:val="clear" w:color="auto" w:fill="F8E2C6" w:themeFill="accent2" w:themeFillTint="3F"/>
      </w:tcPr>
    </w:tblStylePr>
    <w:tblStylePr w:type="band2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1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  <w:shd w:val="clear" w:color="auto" w:fill="F2F0EE" w:themeFill="accent3" w:themeFillTint="3F"/>
      </w:tcPr>
    </w:tblStylePr>
    <w:tblStylePr w:type="band2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1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  <w:shd w:val="clear" w:color="auto" w:fill="ECDDDA" w:themeFill="accent4" w:themeFillTint="3F"/>
      </w:tcPr>
    </w:tblStylePr>
    <w:tblStylePr w:type="band2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1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  <w:shd w:val="clear" w:color="auto" w:fill="DBE3E9" w:themeFill="accent5" w:themeFillTint="3F"/>
      </w:tcPr>
    </w:tblStylePr>
    <w:tblStylePr w:type="band2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1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  <w:shd w:val="clear" w:color="auto" w:fill="EAEDE9" w:themeFill="accent6" w:themeFillTint="3F"/>
      </w:tcPr>
    </w:tblStylePr>
    <w:tblStylePr w:type="band2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003350" w:themeColor="accent1" w:themeShade="BF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AB6913" w:themeColor="accent2" w:themeShade="BF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A28F84" w:themeColor="accent3" w:themeShade="BF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8E5449" w:themeColor="accent4" w:themeShade="BF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4E6C80" w:themeColor="accent5" w:themeShade="BF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7F8D78" w:themeColor="accent6" w:themeShade="BF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unhideWhenUsed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  <w:insideV w:val="single" w:sz="8" w:space="0" w:color="0085D0" w:themeColor="accent1" w:themeTint="BF"/>
      </w:tblBorders>
    </w:tblPr>
    <w:tcPr>
      <w:shd w:val="clear" w:color="auto" w:fill="9B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5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  <w:insideV w:val="single" w:sz="8" w:space="0" w:color="EBA953" w:themeColor="accent2" w:themeTint="BF"/>
      </w:tblBorders>
    </w:tblPr>
    <w:tcPr>
      <w:shd w:val="clear" w:color="auto" w:fill="F8E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A9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  <w:insideV w:val="single" w:sz="8" w:space="0" w:color="D9D1CD" w:themeColor="accent3" w:themeTint="BF"/>
      </w:tblBorders>
    </w:tblPr>
    <w:tcPr>
      <w:shd w:val="clear" w:color="auto" w:fill="F2F0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D1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  <w:insideV w:val="single" w:sz="8" w:space="0" w:color="C69990" w:themeColor="accent4" w:themeTint="BF"/>
      </w:tblBorders>
    </w:tblPr>
    <w:tcPr>
      <w:shd w:val="clear" w:color="auto" w:fill="ECD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99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  <w:insideV w:val="single" w:sz="8" w:space="0" w:color="92ABBC" w:themeColor="accent5" w:themeTint="BF"/>
      </w:tblBorders>
    </w:tblPr>
    <w:tcPr>
      <w:shd w:val="clear" w:color="auto" w:fill="DBE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B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  <w:insideV w:val="single" w:sz="8" w:space="0" w:color="C1C8BD" w:themeColor="accent6" w:themeTint="BF"/>
      </w:tblBorders>
    </w:tblPr>
    <w:tcPr>
      <w:shd w:val="clear" w:color="auto" w:fill="EAE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C8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cPr>
      <w:shd w:val="clear" w:color="auto" w:fill="9B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E2FF" w:themeFill="accent1" w:themeFillTint="33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tcBorders>
          <w:insideH w:val="single" w:sz="6" w:space="0" w:color="00456B" w:themeColor="accent1"/>
          <w:insideV w:val="single" w:sz="6" w:space="0" w:color="00456B" w:themeColor="accent1"/>
        </w:tcBorders>
        <w:shd w:val="clear" w:color="auto" w:fill="36B7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cPr>
      <w:shd w:val="clear" w:color="auto" w:fill="F8E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1" w:themeFill="accent2" w:themeFillTint="33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tcBorders>
          <w:insideH w:val="single" w:sz="6" w:space="0" w:color="E58E1A" w:themeColor="accent2"/>
          <w:insideV w:val="single" w:sz="6" w:space="0" w:color="E58E1A" w:themeColor="accent2"/>
        </w:tcBorders>
        <w:shd w:val="clear" w:color="auto" w:fill="F2C6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cPr>
      <w:shd w:val="clear" w:color="auto" w:fill="F2F0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F1" w:themeFill="accent3" w:themeFillTint="33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tcBorders>
          <w:insideH w:val="single" w:sz="6" w:space="0" w:color="CDC3BD" w:themeColor="accent3"/>
          <w:insideV w:val="single" w:sz="6" w:space="0" w:color="CDC3BD" w:themeColor="accent3"/>
        </w:tcBorders>
        <w:shd w:val="clear" w:color="auto" w:fill="E6E0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cPr>
      <w:shd w:val="clear" w:color="auto" w:fill="ECD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3E1" w:themeFill="accent4" w:themeFillTint="33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tcBorders>
          <w:insideH w:val="single" w:sz="6" w:space="0" w:color="B4786C" w:themeColor="accent4"/>
          <w:insideV w:val="single" w:sz="6" w:space="0" w:color="B4786C" w:themeColor="accent4"/>
        </w:tcBorders>
        <w:shd w:val="clear" w:color="auto" w:fill="D9BB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cPr>
      <w:shd w:val="clear" w:color="auto" w:fill="DBE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D" w:themeFill="accent5" w:themeFillTint="33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tcBorders>
          <w:insideH w:val="single" w:sz="6" w:space="0" w:color="6E90A6" w:themeColor="accent5"/>
          <w:insideV w:val="single" w:sz="6" w:space="0" w:color="6E90A6" w:themeColor="accent5"/>
        </w:tcBorders>
        <w:shd w:val="clear" w:color="auto" w:fill="B6C7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cPr>
      <w:shd w:val="clear" w:color="auto" w:fill="EAED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ED" w:themeFill="accent6" w:themeFillTint="33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tcBorders>
          <w:insideH w:val="single" w:sz="6" w:space="0" w:color="ADB6A8" w:themeColor="accent6"/>
          <w:insideV w:val="single" w:sz="6" w:space="0" w:color="ADB6A8" w:themeColor="accent6"/>
        </w:tcBorders>
        <w:shd w:val="clear" w:color="auto" w:fill="D5DA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B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6B7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6B7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6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68C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E0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E0DE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BB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BB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7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7D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A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AD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56B" w:themeColor="accen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shd w:val="clear" w:color="auto" w:fill="9BDB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8E1A" w:themeColor="accent2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shd w:val="clear" w:color="auto" w:fill="F8E2C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C3BD" w:themeColor="accent3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shd w:val="clear" w:color="auto" w:fill="F2F0EE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786C" w:themeColor="accent4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shd w:val="clear" w:color="auto" w:fill="ECDDDA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90A6" w:themeColor="accent5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shd w:val="clear" w:color="auto" w:fill="DBE3E9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B6A8" w:themeColor="accent6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shd w:val="clear" w:color="auto" w:fill="EAEDE9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56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56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56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56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B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8E1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8E1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8E1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DC3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C3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C3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786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786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786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90A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90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90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B6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B6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B6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B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AU"/>
    </w:rPr>
  </w:style>
  <w:style w:type="paragraph" w:styleId="NoSpacing">
    <w:name w:val="No Spacing"/>
    <w:uiPriority w:val="1"/>
    <w:semiHidden/>
    <w:unhideWhenUsed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  <w:rPr>
      <w:noProof w:val="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noProof w:val="0"/>
      <w:sz w:val="21"/>
      <w:szCs w:val="21"/>
      <w:lang w:val="en-AU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  <w:rPr>
      <w:noProof w:val="0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  <w:rPr>
      <w:noProof w:val="0"/>
      <w:lang w:val="en-AU"/>
    </w:rPr>
  </w:style>
  <w:style w:type="character" w:styleId="Strong">
    <w:name w:val="Strong"/>
    <w:basedOn w:val="DefaultParagraphFont"/>
    <w:uiPriority w:val="17"/>
    <w:qFormat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9"/>
    <w:semiHidden/>
    <w:unhideWhenUsed/>
    <w:qFormat/>
    <w:locked/>
    <w:rsid w:val="00F80750"/>
    <w:pPr>
      <w:numPr>
        <w:ilvl w:val="1"/>
      </w:numPr>
    </w:pPr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83512"/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E58E1A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8637EC"/>
    <w:pPr>
      <w:tabs>
        <w:tab w:val="left" w:pos="635"/>
        <w:tab w:val="left" w:pos="1140"/>
        <w:tab w:val="right" w:leader="dot" w:pos="10546"/>
      </w:tabs>
      <w:spacing w:after="100"/>
      <w:ind w:left="442"/>
      <w:contextualSpacing/>
    </w:pPr>
  </w:style>
  <w:style w:type="paragraph" w:styleId="TOC3">
    <w:name w:val="toc 3"/>
    <w:basedOn w:val="Normal"/>
    <w:next w:val="Normal"/>
    <w:autoRedefine/>
    <w:uiPriority w:val="39"/>
    <w:rsid w:val="008637EC"/>
    <w:pPr>
      <w:tabs>
        <w:tab w:val="left" w:pos="1644"/>
        <w:tab w:val="left" w:pos="2030"/>
        <w:tab w:val="right" w:leader="dot" w:pos="10546"/>
      </w:tabs>
      <w:spacing w:after="100"/>
      <w:ind w:left="11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F80750"/>
    <w:pPr>
      <w:spacing w:after="100"/>
      <w:ind w:left="1520"/>
    </w:pPr>
  </w:style>
  <w:style w:type="paragraph" w:customStyle="1" w:styleId="AppendixHeading">
    <w:name w:val="Appendix Heading"/>
    <w:basedOn w:val="Heading1"/>
    <w:next w:val="Normal"/>
    <w:uiPriority w:val="11"/>
    <w:qFormat/>
    <w:rsid w:val="00034A19"/>
    <w:pPr>
      <w:numPr>
        <w:ilvl w:val="5"/>
      </w:numPr>
    </w:pPr>
  </w:style>
  <w:style w:type="paragraph" w:customStyle="1" w:styleId="Notes">
    <w:name w:val="Notes"/>
    <w:basedOn w:val="Normal"/>
    <w:semiHidden/>
    <w:qFormat/>
    <w:locked/>
    <w:rsid w:val="00503A51"/>
    <w:pPr>
      <w:numPr>
        <w:ilvl w:val="4"/>
        <w:numId w:val="25"/>
      </w:numPr>
      <w:spacing w:after="240"/>
      <w:jc w:val="both"/>
    </w:pPr>
    <w:rPr>
      <w:sz w:val="20"/>
    </w:rPr>
  </w:style>
  <w:style w:type="numbering" w:customStyle="1" w:styleId="GeneralList">
    <w:name w:val="General List"/>
    <w:uiPriority w:val="99"/>
    <w:locked/>
    <w:rsid w:val="00503A51"/>
    <w:pPr>
      <w:numPr>
        <w:numId w:val="23"/>
      </w:numPr>
    </w:pPr>
  </w:style>
  <w:style w:type="numbering" w:customStyle="1" w:styleId="CustomHeadingList">
    <w:name w:val="Custom Heading List"/>
    <w:uiPriority w:val="99"/>
    <w:rsid w:val="003A3021"/>
    <w:pPr>
      <w:numPr>
        <w:numId w:val="26"/>
      </w:numPr>
    </w:pPr>
  </w:style>
  <w:style w:type="paragraph" w:customStyle="1" w:styleId="Introduction">
    <w:name w:val="Introduction"/>
    <w:basedOn w:val="Normal"/>
    <w:uiPriority w:val="10"/>
    <w:qFormat/>
    <w:rsid w:val="00012728"/>
    <w:rPr>
      <w:sz w:val="28"/>
    </w:rPr>
  </w:style>
  <w:style w:type="paragraph" w:customStyle="1" w:styleId="CoverReportNumber">
    <w:name w:val="Cover Report Number"/>
    <w:basedOn w:val="Normal"/>
    <w:uiPriority w:val="19"/>
    <w:qFormat/>
    <w:rsid w:val="00755163"/>
    <w:pPr>
      <w:spacing w:after="0"/>
    </w:pPr>
  </w:style>
  <w:style w:type="paragraph" w:customStyle="1" w:styleId="CoverVersionDate">
    <w:name w:val="Cover Version / Date"/>
    <w:basedOn w:val="CoverReportNumber"/>
    <w:uiPriority w:val="19"/>
    <w:qFormat/>
    <w:rsid w:val="00755163"/>
  </w:style>
  <w:style w:type="table" w:customStyle="1" w:styleId="CustomTable">
    <w:name w:val="Custom Table"/>
    <w:basedOn w:val="TableGrid"/>
    <w:uiPriority w:val="99"/>
    <w:rsid w:val="00DC5900"/>
    <w:tblPr>
      <w:tblStyleRowBandSize w:val="1"/>
      <w:tblStyleColBandSize w:val="1"/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  <w:tblStylePr w:type="lastRow">
      <w:rPr>
        <w:b/>
      </w:rPr>
    </w:tblStylePr>
    <w:tblStylePr w:type="firstCol">
      <w:rPr>
        <w:b/>
        <w:color w:val="FFFFFF" w:themeColor="background1"/>
      </w:rPr>
      <w:tblPr/>
      <w:tcPr>
        <w:shd w:val="clear" w:color="auto" w:fill="6E90A6" w:themeFill="accent5"/>
      </w:tcPr>
    </w:tblStylePr>
    <w:tblStylePr w:type="lastCol">
      <w:pPr>
        <w:jc w:val="right"/>
      </w:pPr>
    </w:tblStylePr>
    <w:tblStylePr w:type="band2Vert">
      <w:tblPr/>
      <w:tcPr>
        <w:shd w:val="clear" w:color="auto" w:fill="F5F2F1" w:themeFill="accent3" w:themeFillTint="33"/>
      </w:tcPr>
    </w:tblStylePr>
    <w:tblStylePr w:type="band2Horz">
      <w:tblPr/>
      <w:tcPr>
        <w:shd w:val="clear" w:color="auto" w:fill="E1E8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igek\Desktop\Nillumbik%20SC%20Base%20Template%20Draft%20V1%202.dotm" TargetMode="External"/></Relationships>
</file>

<file path=word/theme/theme1.xml><?xml version="1.0" encoding="utf-8"?>
<a:theme xmlns:a="http://schemas.openxmlformats.org/drawingml/2006/main" name="Office Theme">
  <a:themeElements>
    <a:clrScheme name="Nillumbik SC">
      <a:dk1>
        <a:sysClr val="windowText" lastClr="000000"/>
      </a:dk1>
      <a:lt1>
        <a:sysClr val="window" lastClr="FFFFFF"/>
      </a:lt1>
      <a:dk2>
        <a:srgbClr val="00456B"/>
      </a:dk2>
      <a:lt2>
        <a:srgbClr val="E2E9ED"/>
      </a:lt2>
      <a:accent1>
        <a:srgbClr val="00456B"/>
      </a:accent1>
      <a:accent2>
        <a:srgbClr val="E58E1A"/>
      </a:accent2>
      <a:accent3>
        <a:srgbClr val="CDC3BD"/>
      </a:accent3>
      <a:accent4>
        <a:srgbClr val="B4786C"/>
      </a:accent4>
      <a:accent5>
        <a:srgbClr val="6E90A6"/>
      </a:accent5>
      <a:accent6>
        <a:srgbClr val="ADB6A8"/>
      </a:accent6>
      <a:hlink>
        <a:srgbClr val="E58E1A"/>
      </a:hlink>
      <a:folHlink>
        <a:srgbClr val="00456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D52BD-C2CF-4128-8B22-D752F2DF3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Nillumbik SC Base Template Draft V1 2</Template>
  <TotalTime>36</TotalTime>
  <Pages>11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Nillumbik Shire Council</Company>
  <LinksUpToDate>false</LinksUpToDate>
  <CharactersWithSpaces>7973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Paige Krygger</dc:creator>
  <cp:lastModifiedBy>Paige Krygger</cp:lastModifiedBy>
  <cp:revision>1</cp:revision>
  <cp:lastPrinted>2014-02-02T12:10:00Z</cp:lastPrinted>
  <dcterms:created xsi:type="dcterms:W3CDTF">2014-12-30T03:51:00Z</dcterms:created>
  <dcterms:modified xsi:type="dcterms:W3CDTF">2014-12-30T04:27:00Z</dcterms:modified>
</cp:coreProperties>
</file>